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434"/>
        <w:gridCol w:w="554"/>
        <w:gridCol w:w="288"/>
        <w:gridCol w:w="494"/>
        <w:gridCol w:w="634"/>
        <w:gridCol w:w="284"/>
        <w:gridCol w:w="578"/>
        <w:gridCol w:w="279"/>
        <w:gridCol w:w="702"/>
        <w:gridCol w:w="6"/>
        <w:gridCol w:w="423"/>
        <w:gridCol w:w="674"/>
        <w:gridCol w:w="172"/>
        <w:gridCol w:w="64"/>
        <w:gridCol w:w="221"/>
        <w:gridCol w:w="288"/>
        <w:gridCol w:w="606"/>
        <w:gridCol w:w="99"/>
        <w:gridCol w:w="150"/>
        <w:gridCol w:w="840"/>
        <w:gridCol w:w="1134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21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2A318D">
              <w:rPr>
                <w:rFonts w:ascii="Arial" w:hAnsi="Arial" w:cs="Arial"/>
                <w:b/>
                <w:sz w:val="20"/>
                <w:szCs w:val="20"/>
              </w:rPr>
              <w:t xml:space="preserve">History- </w:t>
            </w:r>
            <w:r w:rsidR="00357AF3">
              <w:rPr>
                <w:rFonts w:ascii="Arial" w:hAnsi="Arial" w:cs="Arial"/>
                <w:b/>
                <w:sz w:val="20"/>
                <w:szCs w:val="20"/>
              </w:rPr>
              <w:t>Ancient Egypt</w:t>
            </w:r>
          </w:p>
          <w:p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2A318D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817AD9">
              <w:rPr>
                <w:rFonts w:ascii="Arial" w:hAnsi="Arial" w:cs="Arial"/>
                <w:b/>
                <w:sz w:val="20"/>
                <w:szCs w:val="20"/>
              </w:rPr>
              <w:t xml:space="preserve"> Weeks</w:t>
            </w:r>
          </w:p>
          <w:p w:rsidR="006A77A1" w:rsidRPr="0047183A" w:rsidRDefault="006A77A1" w:rsidP="00413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bookmarkStart w:id="0" w:name="_GoBack"/>
            <w:bookmarkEnd w:id="0"/>
          </w:p>
        </w:tc>
      </w:tr>
      <w:tr w:rsidR="006A77A1" w:rsidRPr="0047183A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2A31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5" w:type="pct"/>
            <w:gridSpan w:val="21"/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2A318D" w:rsidRPr="002A318D" w:rsidRDefault="002A318D" w:rsidP="002A3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18D">
              <w:rPr>
                <w:rFonts w:ascii="Arial" w:hAnsi="Arial" w:cs="Arial"/>
                <w:b/>
                <w:sz w:val="18"/>
                <w:szCs w:val="18"/>
              </w:rPr>
              <w:t>HT4-5</w:t>
            </w:r>
          </w:p>
          <w:p w:rsidR="002A318D" w:rsidRPr="002A318D" w:rsidRDefault="002A318D" w:rsidP="002A318D">
            <w:pPr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identifies the meaning, purpose and context of historical sources</w:t>
            </w:r>
          </w:p>
          <w:p w:rsidR="002A318D" w:rsidRPr="002A318D" w:rsidRDefault="002A318D" w:rsidP="002A31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18D" w:rsidRPr="002A318D" w:rsidRDefault="002A318D" w:rsidP="002A318D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2A318D">
              <w:rPr>
                <w:rFonts w:ascii="Arial" w:hAnsi="Arial" w:cs="Arial"/>
                <w:b/>
                <w:sz w:val="18"/>
                <w:szCs w:val="18"/>
              </w:rPr>
              <w:t xml:space="preserve">HT4-8 </w:t>
            </w:r>
          </w:p>
          <w:p w:rsidR="002A318D" w:rsidRPr="002A318D" w:rsidRDefault="002A318D" w:rsidP="002A318D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locates, selects and organises information from sources to develop an historical inquiry</w:t>
            </w:r>
          </w:p>
          <w:p w:rsidR="002A318D" w:rsidRPr="002A318D" w:rsidRDefault="002A318D" w:rsidP="002A318D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  <w:p w:rsidR="00422876" w:rsidRPr="002A318D" w:rsidRDefault="00422876" w:rsidP="0042287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2A318D">
              <w:rPr>
                <w:rFonts w:ascii="Arial" w:hAnsi="Arial" w:cs="Arial"/>
                <w:b/>
                <w:sz w:val="18"/>
                <w:szCs w:val="18"/>
              </w:rPr>
              <w:t>HT4-9</w:t>
            </w:r>
          </w:p>
          <w:p w:rsidR="00422876" w:rsidRPr="002A318D" w:rsidRDefault="00422876" w:rsidP="0042287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uses a range of historical terms and concepts when communicating an understanding of the past</w:t>
            </w:r>
          </w:p>
          <w:p w:rsidR="002A318D" w:rsidRPr="002A318D" w:rsidRDefault="002A318D" w:rsidP="002A318D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  <w:p w:rsidR="002A318D" w:rsidRPr="002A318D" w:rsidRDefault="002A318D" w:rsidP="002A318D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2A318D">
              <w:rPr>
                <w:rFonts w:ascii="Arial" w:hAnsi="Arial" w:cs="Arial"/>
                <w:b/>
                <w:sz w:val="18"/>
                <w:szCs w:val="18"/>
              </w:rPr>
              <w:t>HT4-10</w:t>
            </w:r>
          </w:p>
          <w:p w:rsidR="006A77A1" w:rsidRPr="002A318D" w:rsidRDefault="002A318D" w:rsidP="002A318D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selects and uses appropriate oral, written, visual and digital forms to communicate about the past</w:t>
            </w:r>
          </w:p>
          <w:p w:rsidR="002A318D" w:rsidRPr="002A318D" w:rsidRDefault="002A318D" w:rsidP="002A318D">
            <w:pPr>
              <w:pStyle w:val="tabletext"/>
              <w:rPr>
                <w:rFonts w:ascii="Arial" w:hAnsi="Arial" w:cs="Arial"/>
              </w:rPr>
            </w:pPr>
          </w:p>
        </w:tc>
      </w:tr>
      <w:tr w:rsidR="006A77A1" w:rsidRPr="0047183A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A77A1" w:rsidRPr="002A318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A318D">
              <w:rPr>
                <w:rFonts w:ascii="Arial" w:hAnsi="Arial" w:cs="Arial"/>
                <w:b/>
                <w:sz w:val="18"/>
                <w:szCs w:val="18"/>
              </w:rPr>
              <w:t>Students learn to:</w:t>
            </w:r>
          </w:p>
          <w:p w:rsidR="006A77A1" w:rsidRDefault="002A318D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Develop collaboration skills</w:t>
            </w:r>
          </w:p>
          <w:p w:rsidR="008F25CB" w:rsidRPr="002A318D" w:rsidRDefault="008F25CB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research and inquiry skills</w:t>
            </w:r>
          </w:p>
          <w:p w:rsidR="002A318D" w:rsidRPr="002A318D" w:rsidRDefault="002A318D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Engage with a variety of texts</w:t>
            </w:r>
          </w:p>
          <w:p w:rsidR="002A318D" w:rsidRPr="002A318D" w:rsidRDefault="002A318D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Comprehend a variety of texts</w:t>
            </w:r>
          </w:p>
          <w:p w:rsidR="002A318D" w:rsidRPr="002A318D" w:rsidRDefault="002A318D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Analyse and interpret sources</w:t>
            </w:r>
          </w:p>
          <w:p w:rsidR="002A318D" w:rsidRPr="002A318D" w:rsidRDefault="002A318D" w:rsidP="002A318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Justify their</w:t>
            </w:r>
            <w:r w:rsidRPr="002A318D">
              <w:rPr>
                <w:rFonts w:ascii="Arial" w:hAnsi="Arial" w:cs="Arial"/>
                <w:sz w:val="18"/>
                <w:szCs w:val="18"/>
              </w:rPr>
              <w:t xml:space="preserve"> opinion   </w:t>
            </w: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A77A1" w:rsidRPr="002A318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318D">
              <w:rPr>
                <w:rFonts w:ascii="Arial" w:hAnsi="Arial" w:cs="Arial"/>
                <w:b/>
                <w:sz w:val="18"/>
                <w:szCs w:val="18"/>
              </w:rPr>
              <w:t>Students learn about:</w:t>
            </w:r>
          </w:p>
          <w:p w:rsidR="00817AD9" w:rsidRPr="002A318D" w:rsidRDefault="00357AF3" w:rsidP="006345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society of Ancient Egypt</w:t>
            </w:r>
          </w:p>
          <w:p w:rsidR="002A318D" w:rsidRDefault="002A318D" w:rsidP="006345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318D">
              <w:rPr>
                <w:rFonts w:ascii="Arial" w:hAnsi="Arial" w:cs="Arial"/>
                <w:sz w:val="18"/>
                <w:szCs w:val="18"/>
              </w:rPr>
              <w:t>Primary and Secondary sources</w:t>
            </w:r>
          </w:p>
          <w:p w:rsidR="002A318D" w:rsidRPr="002A318D" w:rsidRDefault="002A318D" w:rsidP="006345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value of sources in interpreting history</w:t>
            </w:r>
          </w:p>
        </w:tc>
      </w:tr>
      <w:tr w:rsidR="006A77A1" w:rsidRPr="0047183A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Pr="008F25CB" w:rsidRDefault="008F25CB" w:rsidP="00357A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25CB">
              <w:rPr>
                <w:rFonts w:ascii="Arial" w:hAnsi="Arial" w:cs="Arial"/>
                <w:sz w:val="18"/>
                <w:szCs w:val="18"/>
              </w:rPr>
              <w:t>During this unit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F25CB">
              <w:rPr>
                <w:rFonts w:ascii="Arial" w:hAnsi="Arial" w:cs="Arial"/>
                <w:sz w:val="18"/>
                <w:szCs w:val="18"/>
              </w:rPr>
              <w:t xml:space="preserve"> students will gain an understanding of </w:t>
            </w:r>
            <w:r w:rsidR="00357AF3">
              <w:rPr>
                <w:rFonts w:ascii="Arial" w:hAnsi="Arial" w:cs="Arial"/>
                <w:sz w:val="18"/>
                <w:szCs w:val="18"/>
              </w:rPr>
              <w:t>the society of Ancient Egypt</w:t>
            </w:r>
            <w:r w:rsidRPr="008F25CB">
              <w:rPr>
                <w:rFonts w:ascii="Arial" w:hAnsi="Arial" w:cs="Arial"/>
                <w:sz w:val="18"/>
                <w:szCs w:val="18"/>
              </w:rPr>
              <w:t xml:space="preserve"> while developing inquiry skills. Students will identify primary and secondary sources and evaluate their usefulness to a particular historical inquiry. </w:t>
            </w:r>
          </w:p>
        </w:tc>
      </w:tr>
      <w:tr w:rsidR="006A77A1" w:rsidRPr="0047183A" w:rsidTr="008B3B1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25CB">
              <w:rPr>
                <w:rFonts w:ascii="Arial" w:hAnsi="Arial" w:cs="Arial"/>
                <w:sz w:val="16"/>
                <w:szCs w:val="20"/>
                <w:highlight w:val="yellow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8F25CB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25CB">
              <w:rPr>
                <w:rFonts w:ascii="Arial" w:hAnsi="Arial" w:cs="Arial"/>
                <w:b/>
                <w:sz w:val="20"/>
                <w:szCs w:val="20"/>
              </w:rPr>
              <w:t>Clusters:</w:t>
            </w:r>
            <w:r>
              <w:rPr>
                <w:rFonts w:ascii="Arial" w:hAnsi="Arial" w:cs="Arial"/>
                <w:sz w:val="20"/>
                <w:szCs w:val="20"/>
              </w:rPr>
              <w:t xml:space="preserve"> 1-16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25CB">
              <w:rPr>
                <w:rFonts w:ascii="Arial" w:hAnsi="Arial" w:cs="Arial"/>
                <w:b/>
                <w:sz w:val="20"/>
                <w:szCs w:val="20"/>
              </w:rPr>
              <w:t>Activities linked to program to increase learning:</w:t>
            </w:r>
          </w:p>
          <w:p w:rsidR="006A77A1" w:rsidRPr="008F25CB" w:rsidRDefault="008F25CB" w:rsidP="008B3B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Applying comprehension strategies through discussion, analysis of text, predicting summarising, questioning</w:t>
            </w:r>
          </w:p>
        </w:tc>
      </w:tr>
      <w:tr w:rsidR="006A77A1" w:rsidRPr="0047183A" w:rsidTr="008B3B1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8F25CB" w:rsidP="008F25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Numeracy concepts are addressed in this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sequencing of events, however numeracy is not the main focus of this unit</w:t>
            </w:r>
          </w:p>
        </w:tc>
      </w:tr>
      <w:tr w:rsidR="006A77A1" w:rsidRPr="0047183A" w:rsidTr="008B3B1D">
        <w:trPr>
          <w:trHeight w:val="100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IQ3 Problematic Knowledge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IQ4 Higher-order Thinking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IQ6 Substantive Communication</w:t>
            </w:r>
          </w:p>
        </w:tc>
        <w:tc>
          <w:tcPr>
            <w:tcW w:w="1662" w:type="pct"/>
            <w:gridSpan w:val="8"/>
            <w:shd w:val="clear" w:color="auto" w:fill="auto"/>
            <w:vAlign w:val="center"/>
          </w:tcPr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QE4 Social Support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S2 Cultural Knowledge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6A77A1" w:rsidRPr="008F25CB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F25CB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1398D5" wp14:editId="32DB0084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6AF9954" wp14:editId="6999E908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8DB69D" wp14:editId="67A395A6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76945DEF" wp14:editId="34E49B14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411E0E7B" wp14:editId="391E51B6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9"/>
            <w:shd w:val="clear" w:color="auto" w:fill="auto"/>
          </w:tcPr>
          <w:p w:rsidR="00596776" w:rsidRPr="00596776" w:rsidRDefault="00357AF3" w:rsidP="00596776">
            <w:pPr>
              <w:pStyle w:val="ListParagraph"/>
              <w:numPr>
                <w:ilvl w:val="0"/>
                <w:numId w:val="14"/>
              </w:numPr>
              <w:ind w:left="31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Introduction to Ancient Egypt and the importance of the Nile</w:t>
            </w:r>
          </w:p>
          <w:p w:rsidR="00596776" w:rsidRPr="00596776" w:rsidRDefault="00596776" w:rsidP="00596776">
            <w:pPr>
              <w:pStyle w:val="ListParagrap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596776" w:rsidRPr="00357AF3" w:rsidRDefault="008F25CB" w:rsidP="00357AF3">
            <w:pPr>
              <w:pStyle w:val="ListParagraph"/>
              <w:numPr>
                <w:ilvl w:val="0"/>
                <w:numId w:val="11"/>
              </w:numPr>
              <w:ind w:left="31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9677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Brainstorm </w:t>
            </w:r>
            <w:r w:rsidR="00357A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what the students know about ancient Egypt</w:t>
            </w:r>
          </w:p>
          <w:p w:rsidR="00357AF3" w:rsidRPr="00357AF3" w:rsidRDefault="00357AF3" w:rsidP="00357AF3">
            <w:pPr>
              <w:pStyle w:val="ListParagraph"/>
              <w:numPr>
                <w:ilvl w:val="0"/>
                <w:numId w:val="11"/>
              </w:numPr>
              <w:ind w:left="31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Examine the geography of Ancient Egypt</w:t>
            </w:r>
          </w:p>
          <w:p w:rsidR="00357AF3" w:rsidRPr="00596776" w:rsidRDefault="00357AF3" w:rsidP="00596776">
            <w:pPr>
              <w:pStyle w:val="ListParagraph"/>
              <w:numPr>
                <w:ilvl w:val="0"/>
                <w:numId w:val="11"/>
              </w:numPr>
              <w:ind w:left="31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Examine the flooding of the Nile why was this important to Ancient Egypt? </w:t>
            </w:r>
          </w:p>
          <w:p w:rsidR="008C76E4" w:rsidRPr="00C53D5F" w:rsidRDefault="008C76E4" w:rsidP="008C76E4">
            <w:pPr>
              <w:pStyle w:val="ListParagraph"/>
              <w:ind w:left="311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8F25CB" w:rsidRPr="008F25CB" w:rsidRDefault="008F25CB" w:rsidP="008F25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357AF3">
              <w:rPr>
                <w:rFonts w:ascii="Arial" w:hAnsi="Arial" w:cs="Arial"/>
                <w:b/>
                <w:sz w:val="18"/>
                <w:szCs w:val="18"/>
              </w:rPr>
              <w:t>The Pharaoh and Egyptian Dynasties</w:t>
            </w:r>
          </w:p>
          <w:p w:rsidR="008F25CB" w:rsidRPr="008F25CB" w:rsidRDefault="008F25CB" w:rsidP="008F25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76E4" w:rsidRDefault="00357AF3" w:rsidP="00357AF3">
            <w:pPr>
              <w:pStyle w:val="ListParagraph"/>
              <w:numPr>
                <w:ilvl w:val="0"/>
                <w:numId w:val="20"/>
              </w:numPr>
              <w:ind w:left="311" w:hanging="28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Who was the </w:t>
            </w:r>
            <w:r w:rsidR="00BB46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Pharaoh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  <w:p w:rsidR="00357AF3" w:rsidRDefault="0052785E" w:rsidP="00357AF3">
            <w:pPr>
              <w:pStyle w:val="ListParagraph"/>
              <w:numPr>
                <w:ilvl w:val="0"/>
                <w:numId w:val="20"/>
              </w:numPr>
              <w:ind w:left="311" w:hanging="28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lands of upper and lower Egypt</w:t>
            </w:r>
          </w:p>
          <w:p w:rsidR="0052785E" w:rsidRPr="00357AF3" w:rsidRDefault="0052785E" w:rsidP="00357AF3">
            <w:pPr>
              <w:pStyle w:val="ListParagraph"/>
              <w:numPr>
                <w:ilvl w:val="0"/>
                <w:numId w:val="20"/>
              </w:numPr>
              <w:ind w:left="311" w:hanging="28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Practical activity: Make a crown of upper and lower Egypt</w:t>
            </w:r>
          </w:p>
          <w:p w:rsidR="00596776" w:rsidRDefault="00596776" w:rsidP="0059677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596776" w:rsidRPr="00596776" w:rsidRDefault="00596776" w:rsidP="005967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52785E">
              <w:rPr>
                <w:rFonts w:ascii="Arial" w:hAnsi="Arial" w:cs="Arial"/>
                <w:b/>
                <w:sz w:val="18"/>
                <w:szCs w:val="18"/>
              </w:rPr>
              <w:t>Egyptian Society</w:t>
            </w:r>
          </w:p>
          <w:p w:rsidR="00596776" w:rsidRPr="00596776" w:rsidRDefault="00596776" w:rsidP="00596776">
            <w:pPr>
              <w:rPr>
                <w:rFonts w:ascii="Arial" w:hAnsi="Arial" w:cs="Arial"/>
                <w:sz w:val="18"/>
                <w:szCs w:val="18"/>
              </w:rPr>
            </w:pPr>
          </w:p>
          <w:p w:rsidR="00596776" w:rsidRDefault="001602AC" w:rsidP="005967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were</w:t>
            </w:r>
            <w:r w:rsidR="0052785E">
              <w:rPr>
                <w:rFonts w:ascii="Arial" w:hAnsi="Arial" w:cs="Arial"/>
                <w:sz w:val="18"/>
                <w:szCs w:val="18"/>
              </w:rPr>
              <w:t xml:space="preserve"> the different classes of people in Egyptian society and </w:t>
            </w:r>
            <w:r>
              <w:rPr>
                <w:rFonts w:ascii="Arial" w:hAnsi="Arial" w:cs="Arial"/>
                <w:sz w:val="18"/>
                <w:szCs w:val="18"/>
              </w:rPr>
              <w:t>what were their</w:t>
            </w:r>
            <w:r w:rsidR="0052785E">
              <w:rPr>
                <w:rFonts w:ascii="Arial" w:hAnsi="Arial" w:cs="Arial"/>
                <w:sz w:val="18"/>
                <w:szCs w:val="18"/>
              </w:rPr>
              <w:t xml:space="preserve"> rights and responsibilities</w:t>
            </w:r>
          </w:p>
          <w:p w:rsidR="006C48F4" w:rsidRPr="00596776" w:rsidRDefault="006C48F4" w:rsidP="005967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Examine the lives of ordinary people in Egypt</w:t>
            </w:r>
          </w:p>
          <w:p w:rsidR="009E439B" w:rsidRDefault="009E439B" w:rsidP="005278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439B" w:rsidRDefault="006C48F4" w:rsidP="005278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E439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Gods</w:t>
            </w:r>
            <w:r w:rsidR="00D030A5">
              <w:rPr>
                <w:rFonts w:ascii="Arial" w:hAnsi="Arial" w:cs="Arial"/>
                <w:b/>
                <w:sz w:val="18"/>
                <w:szCs w:val="18"/>
              </w:rPr>
              <w:t>, life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Deaths</w:t>
            </w:r>
          </w:p>
          <w:p w:rsidR="006C48F4" w:rsidRDefault="006C48F4" w:rsidP="006C48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48F4" w:rsidRPr="00D030A5" w:rsidRDefault="001602AC" w:rsidP="00D030A5">
            <w:pPr>
              <w:pStyle w:val="ListParagraph"/>
              <w:numPr>
                <w:ilvl w:val="0"/>
                <w:numId w:val="26"/>
              </w:numPr>
              <w:ind w:left="311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</w:t>
            </w:r>
            <w:r w:rsidR="00D030A5">
              <w:rPr>
                <w:rFonts w:ascii="Arial" w:hAnsi="Arial" w:cs="Arial"/>
                <w:sz w:val="18"/>
                <w:szCs w:val="18"/>
              </w:rPr>
              <w:t xml:space="preserve"> some Egyptian beliefs about gods and their roles in the Ancient Egyptian World</w:t>
            </w:r>
          </w:p>
          <w:p w:rsidR="00D030A5" w:rsidRPr="001602AC" w:rsidRDefault="00D030A5" w:rsidP="001602AC">
            <w:pPr>
              <w:pStyle w:val="ListParagraph"/>
              <w:numPr>
                <w:ilvl w:val="0"/>
                <w:numId w:val="26"/>
              </w:numPr>
              <w:ind w:left="311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Examine the Judgement of the dead and their journey to the underworld</w:t>
            </w:r>
          </w:p>
          <w:p w:rsidR="009E439B" w:rsidRDefault="009E439B" w:rsidP="005278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439B" w:rsidRDefault="006C48F4" w:rsidP="005278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E439B">
              <w:rPr>
                <w:rFonts w:ascii="Arial" w:hAnsi="Arial" w:cs="Arial"/>
                <w:b/>
                <w:sz w:val="18"/>
                <w:szCs w:val="18"/>
              </w:rPr>
              <w:t>. Mummies</w:t>
            </w:r>
          </w:p>
          <w:p w:rsidR="001602AC" w:rsidRDefault="001602AC" w:rsidP="005278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2AC" w:rsidRPr="001602AC" w:rsidRDefault="001602AC" w:rsidP="001602AC">
            <w:pPr>
              <w:pStyle w:val="ListParagraph"/>
              <w:numPr>
                <w:ilvl w:val="0"/>
                <w:numId w:val="27"/>
              </w:numPr>
              <w:ind w:left="311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mummification and how was it preformed?</w:t>
            </w:r>
          </w:p>
          <w:p w:rsidR="001602AC" w:rsidRDefault="001602AC" w:rsidP="001602AC">
            <w:pPr>
              <w:pStyle w:val="ListParagraph"/>
              <w:numPr>
                <w:ilvl w:val="0"/>
                <w:numId w:val="27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1602AC">
              <w:rPr>
                <w:rFonts w:ascii="Arial" w:hAnsi="Arial" w:cs="Arial"/>
                <w:sz w:val="18"/>
                <w:szCs w:val="18"/>
              </w:rPr>
              <w:t>Mummy dress up activity</w:t>
            </w:r>
          </w:p>
          <w:p w:rsidR="009C3E1D" w:rsidRDefault="009C3E1D" w:rsidP="009C3E1D">
            <w:pPr>
              <w:rPr>
                <w:rFonts w:ascii="Arial" w:hAnsi="Arial" w:cs="Arial"/>
                <w:sz w:val="18"/>
                <w:szCs w:val="18"/>
              </w:rPr>
            </w:pPr>
          </w:p>
          <w:p w:rsidR="009C3E1D" w:rsidRDefault="009C3E1D" w:rsidP="009C3E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Tutankhamen’s Treasure</w:t>
            </w:r>
          </w:p>
          <w:p w:rsidR="009C3E1D" w:rsidRDefault="009C3E1D" w:rsidP="009C3E1D">
            <w:pPr>
              <w:rPr>
                <w:rFonts w:ascii="Arial" w:hAnsi="Arial" w:cs="Arial"/>
                <w:sz w:val="18"/>
                <w:szCs w:val="18"/>
              </w:rPr>
            </w:pPr>
          </w:p>
          <w:p w:rsidR="009C3E1D" w:rsidRDefault="009C3E1D" w:rsidP="009C3E1D">
            <w:pPr>
              <w:pStyle w:val="ListParagraph"/>
              <w:numPr>
                <w:ilvl w:val="0"/>
                <w:numId w:val="3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was Tutankhamen?</w:t>
            </w:r>
          </w:p>
          <w:p w:rsidR="009C3E1D" w:rsidRPr="008800E0" w:rsidRDefault="009C3E1D" w:rsidP="009C3E1D">
            <w:pPr>
              <w:pStyle w:val="ListParagraph"/>
              <w:numPr>
                <w:ilvl w:val="0"/>
                <w:numId w:val="3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was the discovery of his tomb so important?</w:t>
            </w:r>
          </w:p>
          <w:p w:rsidR="006C48F4" w:rsidRPr="001602AC" w:rsidRDefault="006C48F4" w:rsidP="005E5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39B" w:rsidRDefault="005E517D" w:rsidP="005278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6C48F4">
              <w:rPr>
                <w:rFonts w:ascii="Arial" w:hAnsi="Arial" w:cs="Arial"/>
                <w:b/>
                <w:sz w:val="18"/>
                <w:szCs w:val="18"/>
              </w:rPr>
              <w:t>. The Mystery of the Pyramids</w:t>
            </w:r>
          </w:p>
          <w:p w:rsidR="001602AC" w:rsidRDefault="001602AC" w:rsidP="005278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2AC" w:rsidRPr="008800E0" w:rsidRDefault="008800E0" w:rsidP="008800E0">
            <w:pPr>
              <w:pStyle w:val="ListParagraph"/>
              <w:numPr>
                <w:ilvl w:val="0"/>
                <w:numId w:val="31"/>
              </w:numPr>
              <w:ind w:left="311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are the Pyramids? </w:t>
            </w:r>
          </w:p>
          <w:p w:rsidR="008800E0" w:rsidRPr="005E517D" w:rsidRDefault="00BB46F4" w:rsidP="008800E0">
            <w:pPr>
              <w:pStyle w:val="ListParagraph"/>
              <w:numPr>
                <w:ilvl w:val="0"/>
                <w:numId w:val="31"/>
              </w:numPr>
              <w:ind w:left="311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and h</w:t>
            </w:r>
            <w:r w:rsidR="008800E0">
              <w:rPr>
                <w:rFonts w:ascii="Arial" w:hAnsi="Arial" w:cs="Arial"/>
                <w:sz w:val="18"/>
                <w:szCs w:val="18"/>
              </w:rPr>
              <w:t>ow were they built?</w:t>
            </w:r>
          </w:p>
          <w:p w:rsidR="005E517D" w:rsidRDefault="005E517D" w:rsidP="005E51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517D" w:rsidRDefault="005E517D" w:rsidP="005E51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The Mystery of the Rosetta stone</w:t>
            </w:r>
          </w:p>
          <w:p w:rsidR="005E517D" w:rsidRDefault="005E517D" w:rsidP="005E51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517D" w:rsidRDefault="005E517D" w:rsidP="005E517D">
            <w:pPr>
              <w:pStyle w:val="ListParagraph"/>
              <w:numPr>
                <w:ilvl w:val="0"/>
                <w:numId w:val="29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1602AC">
              <w:rPr>
                <w:rFonts w:ascii="Arial" w:hAnsi="Arial" w:cs="Arial"/>
                <w:sz w:val="18"/>
                <w:szCs w:val="18"/>
              </w:rPr>
              <w:t>What is the Rosetta stone?</w:t>
            </w:r>
          </w:p>
          <w:p w:rsidR="005E517D" w:rsidRPr="005E517D" w:rsidRDefault="005E517D" w:rsidP="005E517D">
            <w:pPr>
              <w:pStyle w:val="ListParagraph"/>
              <w:numPr>
                <w:ilvl w:val="0"/>
                <w:numId w:val="29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your own Rosetta stone activity</w:t>
            </w:r>
          </w:p>
          <w:p w:rsidR="005E517D" w:rsidRDefault="005E517D" w:rsidP="005E51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517D" w:rsidRDefault="005E517D" w:rsidP="005E51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Trade and War</w:t>
            </w:r>
          </w:p>
          <w:p w:rsidR="005E517D" w:rsidRDefault="005E517D" w:rsidP="005E51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517D" w:rsidRPr="001602AC" w:rsidRDefault="005E517D" w:rsidP="005E517D">
            <w:pPr>
              <w:pStyle w:val="ListParagraph"/>
              <w:numPr>
                <w:ilvl w:val="0"/>
                <w:numId w:val="28"/>
              </w:numPr>
              <w:ind w:left="311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resource did Egypt have? And who did they trade too?</w:t>
            </w:r>
          </w:p>
          <w:p w:rsidR="006A77A1" w:rsidRPr="005E517D" w:rsidRDefault="005E517D" w:rsidP="005E517D">
            <w:pPr>
              <w:pStyle w:val="ListParagraph"/>
              <w:numPr>
                <w:ilvl w:val="0"/>
                <w:numId w:val="28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1602AC">
              <w:rPr>
                <w:rFonts w:ascii="Arial" w:hAnsi="Arial" w:cs="Arial"/>
                <w:sz w:val="18"/>
                <w:szCs w:val="18"/>
              </w:rPr>
              <w:t>Why we</w:t>
            </w:r>
            <w:r>
              <w:rPr>
                <w:rFonts w:ascii="Arial" w:hAnsi="Arial" w:cs="Arial"/>
                <w:sz w:val="18"/>
                <w:szCs w:val="18"/>
              </w:rPr>
              <w:t>re wars fought in ancient Egypt</w:t>
            </w: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5B318277" wp14:editId="1566F6C9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16318C" wp14:editId="30778800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74A92E0E" wp14:editId="1958C8EC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20C68B" wp14:editId="4A6DC745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08276CF" wp14:editId="5814CDBF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Pr="00F70E4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25FD77" wp14:editId="19799959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FC9A03" wp14:editId="3DAD4526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3B429766" wp14:editId="04B700AC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</w:tc>
      </w:tr>
      <w:tr w:rsidR="006A77A1" w:rsidRPr="0047183A" w:rsidTr="008B3B1D">
        <w:tc>
          <w:tcPr>
            <w:tcW w:w="2495" w:type="pct"/>
            <w:gridSpan w:val="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3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8B3B1D">
        <w:tc>
          <w:tcPr>
            <w:tcW w:w="2495" w:type="pct"/>
            <w:gridSpan w:val="9"/>
            <w:shd w:val="clear" w:color="auto" w:fill="auto"/>
          </w:tcPr>
          <w:p w:rsidR="006A77A1" w:rsidRDefault="00D60FC9" w:rsidP="00D60F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support given to students in need of it.</w:t>
            </w:r>
          </w:p>
          <w:p w:rsidR="00D60FC9" w:rsidRDefault="00D60FC9" w:rsidP="00D60F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work consist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a variety of activities aimed at different types of learning.</w:t>
            </w:r>
          </w:p>
          <w:p w:rsidR="00D60FC9" w:rsidRDefault="00D60FC9" w:rsidP="00D60F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stage appropriate work.</w:t>
            </w:r>
          </w:p>
          <w:p w:rsidR="00D60FC9" w:rsidRDefault="00D60FC9" w:rsidP="00D60F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designed to engage learners as it is altered for their interests.</w:t>
            </w:r>
          </w:p>
          <w:p w:rsidR="006A77A1" w:rsidRPr="00D60FC9" w:rsidRDefault="00D60FC9" w:rsidP="00D60FC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Students’ work adjusted to meet their personal learning plans goals and outcomes.</w:t>
            </w:r>
          </w:p>
        </w:tc>
        <w:tc>
          <w:tcPr>
            <w:tcW w:w="2505" w:type="pct"/>
            <w:gridSpan w:val="13"/>
            <w:shd w:val="clear" w:color="auto" w:fill="auto"/>
          </w:tcPr>
          <w:p w:rsidR="001147E1" w:rsidRDefault="001147E1" w:rsidP="001147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147E1">
              <w:rPr>
                <w:rFonts w:ascii="Arial" w:hAnsi="Arial" w:cs="Arial"/>
                <w:sz w:val="18"/>
                <w:szCs w:val="18"/>
              </w:rPr>
              <w:t>Students develop their comprehension skills to allow them to identify and interpret texts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47E1" w:rsidRDefault="001147E1" w:rsidP="001147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develop skills to form, informed opinions.</w:t>
            </w:r>
          </w:p>
          <w:p w:rsidR="001147E1" w:rsidRPr="001147E1" w:rsidRDefault="001147E1" w:rsidP="001147E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develop skills to make informed choices.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auto"/>
          </w:tcPr>
          <w:p w:rsidR="001147E1" w:rsidRDefault="001147E1" w:rsidP="001147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6A77A1" w:rsidRPr="0047183A" w:rsidRDefault="001147E1" w:rsidP="001147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response to questioning, student participation in </w:t>
            </w:r>
            <w:r w:rsidR="00963452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>
              <w:rPr>
                <w:rFonts w:ascii="Arial" w:hAnsi="Arial" w:cs="Arial"/>
                <w:sz w:val="20"/>
                <w:szCs w:val="20"/>
              </w:rPr>
              <w:t>discussion and group work, student written work</w:t>
            </w:r>
          </w:p>
        </w:tc>
      </w:tr>
      <w:tr w:rsidR="00CA353A" w:rsidRPr="0047183A" w:rsidTr="00CA353A">
        <w:tc>
          <w:tcPr>
            <w:tcW w:w="5000" w:type="pct"/>
            <w:gridSpan w:val="22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:rsidTr="00CA353A">
        <w:trPr>
          <w:trHeight w:val="233"/>
        </w:trPr>
        <w:tc>
          <w:tcPr>
            <w:tcW w:w="1667" w:type="pct"/>
            <w:gridSpan w:val="5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8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CA353A">
        <w:trPr>
          <w:trHeight w:val="1821"/>
        </w:trPr>
        <w:tc>
          <w:tcPr>
            <w:tcW w:w="1667" w:type="pct"/>
            <w:gridSpan w:val="5"/>
            <w:shd w:val="clear" w:color="auto" w:fill="auto"/>
          </w:tcPr>
          <w:p w:rsidR="00774464" w:rsidRDefault="00774464" w:rsidP="007744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Planning</w:t>
            </w:r>
          </w:p>
          <w:p w:rsidR="004F57EB" w:rsidRDefault="004F57EB" w:rsidP="007744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B5192D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:rsidR="00774464" w:rsidRDefault="00774464" w:rsidP="007744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Support</w:t>
            </w:r>
          </w:p>
          <w:p w:rsidR="00774464" w:rsidRDefault="00774464" w:rsidP="007744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Instruction</w:t>
            </w:r>
          </w:p>
          <w:p w:rsidR="00774464" w:rsidRDefault="00774464" w:rsidP="007744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Preparation</w:t>
            </w:r>
          </w:p>
          <w:p w:rsidR="004F57EB" w:rsidRDefault="004F57EB" w:rsidP="007744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Excursion Planning &amp; Supervision</w:t>
            </w:r>
          </w:p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shd w:val="clear" w:color="auto" w:fill="auto"/>
          </w:tcPr>
          <w:p w:rsidR="00963452" w:rsidRDefault="00963452" w:rsidP="004F57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Support</w:t>
            </w:r>
          </w:p>
          <w:p w:rsidR="00CA353A" w:rsidRDefault="004F57EB" w:rsidP="004F57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Support</w:t>
            </w:r>
            <w:r w:rsidR="0096345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452">
              <w:rPr>
                <w:rFonts w:ascii="Arial" w:hAnsi="Arial" w:cs="Arial"/>
                <w:sz w:val="20"/>
                <w:szCs w:val="20"/>
              </w:rPr>
              <w:t>both individually and in small groups</w:t>
            </w:r>
          </w:p>
          <w:p w:rsidR="00963452" w:rsidRDefault="00963452" w:rsidP="004F57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Support (under teacher supervision)</w:t>
            </w:r>
          </w:p>
          <w:p w:rsidR="00963452" w:rsidRDefault="00963452" w:rsidP="004F57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Preparation</w:t>
            </w:r>
          </w:p>
          <w:p w:rsidR="00963452" w:rsidRDefault="00963452" w:rsidP="004F57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Excursion Supervision</w:t>
            </w:r>
          </w:p>
          <w:p w:rsidR="00963452" w:rsidRDefault="00963452" w:rsidP="004F57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9"/>
            <w:shd w:val="clear" w:color="auto" w:fill="auto"/>
          </w:tcPr>
          <w:p w:rsidR="00CA353A" w:rsidRDefault="006F2626" w:rsidP="006F26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all activities</w:t>
            </w:r>
          </w:p>
          <w:p w:rsidR="006F2626" w:rsidRDefault="006F2626" w:rsidP="006F26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both academic and social skills</w:t>
            </w:r>
          </w:p>
          <w:p w:rsidR="006F2626" w:rsidRDefault="006F2626" w:rsidP="006F26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9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auto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6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9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5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53A" w:rsidRDefault="00CA353A" w:rsidP="006A77A1"/>
    <w:p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:rsidR="00CA353A" w:rsidRPr="00C97262" w:rsidRDefault="00C97262" w:rsidP="008B3B1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7262">
              <w:rPr>
                <w:rFonts w:ascii="Arial" w:hAnsi="Arial" w:cs="Arial"/>
                <w:sz w:val="20"/>
                <w:szCs w:val="20"/>
              </w:rPr>
              <w:t>All activities worked well and were appropriate for the students in stage 4 at Verona (2016).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:rsidR="00497E32" w:rsidRPr="00497E32" w:rsidRDefault="00C97262" w:rsidP="00497E3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7262">
              <w:rPr>
                <w:rFonts w:ascii="Arial" w:hAnsi="Arial" w:cs="Arial"/>
                <w:sz w:val="20"/>
                <w:szCs w:val="20"/>
              </w:rPr>
              <w:t>An activity that specifically uses primary sources needs to be added, though primary sources such as images were used.</w:t>
            </w:r>
            <w:r w:rsidR="00497E32" w:rsidRPr="00497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353A" w:rsidRPr="00C97262" w:rsidRDefault="00C97262" w:rsidP="008B3B1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7262">
              <w:rPr>
                <w:rFonts w:ascii="Arial" w:hAnsi="Arial" w:cs="Arial"/>
                <w:sz w:val="20"/>
                <w:szCs w:val="20"/>
              </w:rPr>
              <w:t xml:space="preserve">Some of the Videos can be replaced when more engaging video become </w:t>
            </w:r>
            <w:r w:rsidR="00184337" w:rsidRPr="00C97262">
              <w:rPr>
                <w:rFonts w:ascii="Arial" w:hAnsi="Arial" w:cs="Arial"/>
                <w:sz w:val="20"/>
                <w:szCs w:val="20"/>
              </w:rPr>
              <w:t>available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</w:t>
            </w:r>
            <w:r w:rsidR="00C97262">
              <w:rPr>
                <w:rFonts w:ascii="Arial" w:hAnsi="Arial" w:cs="Arial"/>
                <w:sz w:val="20"/>
                <w:szCs w:val="20"/>
              </w:rPr>
              <w:t>ink the students gained from the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9726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</w:t>
            </w:r>
            <w:r w:rsidR="00C9726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A77A1" w:rsidRPr="00C97262" w:rsidRDefault="00C97262" w:rsidP="00C9726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7262">
              <w:rPr>
                <w:rFonts w:ascii="Arial" w:hAnsi="Arial" w:cs="Arial"/>
                <w:sz w:val="20"/>
                <w:szCs w:val="20"/>
              </w:rPr>
              <w:t>Students gained understanding of life in Ancient Egypt</w:t>
            </w:r>
          </w:p>
          <w:p w:rsidR="00CA353A" w:rsidRDefault="00C97262" w:rsidP="00C9726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practiced/learnt new literacy skills, such as development of comprehension skills</w:t>
            </w:r>
          </w:p>
          <w:p w:rsidR="00C97262" w:rsidRPr="00C97262" w:rsidRDefault="00C97262" w:rsidP="00C9726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gained and understanding of the evolution of past societies and cultures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:rsidR="006A77A1" w:rsidRDefault="00C97262" w:rsidP="00C9726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unit was designed with the elements in mind, the unit matched most elements well</w:t>
            </w:r>
          </w:p>
          <w:p w:rsidR="00C97262" w:rsidRDefault="00C97262" w:rsidP="00C9726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a history unit functional literacy was at the centre of all activities</w:t>
            </w:r>
          </w:p>
          <w:p w:rsidR="00497E32" w:rsidRDefault="00C97262" w:rsidP="00C9726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Functional numeracy could be incorporated </w:t>
            </w:r>
            <w:r w:rsidR="00497E32">
              <w:rPr>
                <w:rFonts w:ascii="Arial" w:hAnsi="Arial" w:cs="Arial"/>
                <w:sz w:val="20"/>
                <w:szCs w:val="20"/>
              </w:rPr>
              <w:t xml:space="preserve">into the unit more (graphing exercises </w:t>
            </w:r>
            <w:proofErr w:type="spellStart"/>
            <w:r w:rsidR="00497E3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497E32">
              <w:rPr>
                <w:rFonts w:ascii="Arial" w:hAnsi="Arial" w:cs="Arial"/>
                <w:sz w:val="20"/>
                <w:szCs w:val="20"/>
              </w:rPr>
              <w:t>), however students did continue to develop their understanding of time during the course</w:t>
            </w:r>
          </w:p>
          <w:p w:rsidR="00497E32" w:rsidRDefault="00497E32" w:rsidP="00C9726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skills such as evaluating sources, comprehension, comparing and contrasting etc. can translate to the work place.</w:t>
            </w:r>
          </w:p>
          <w:p w:rsidR="00497E32" w:rsidRDefault="00497E32" w:rsidP="00C9726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and word processing skills used throughout the unit</w:t>
            </w:r>
          </w:p>
          <w:p w:rsidR="00C97262" w:rsidRPr="00C97262" w:rsidRDefault="00497E32" w:rsidP="00C9726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 reading skills were incorporated into the unit  </w:t>
            </w: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:rsidR="006A77A1" w:rsidRPr="00497E32" w:rsidRDefault="00497E32" w:rsidP="00497E3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a sound unit of work here </w:t>
            </w:r>
            <w:r w:rsidR="00DB5979">
              <w:rPr>
                <w:rFonts w:ascii="Arial" w:hAnsi="Arial" w:cs="Arial"/>
                <w:sz w:val="20"/>
                <w:szCs w:val="20"/>
              </w:rPr>
              <w:t>that can form the basis of an even stronger unit of work on Egypt, with the adjustment of lessons to increase engagement and changes to some of the video and a greater focus on primary and secondary sources</w:t>
            </w: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:rsidR="00CA353A" w:rsidRPr="00497E32" w:rsidRDefault="00DB5979" w:rsidP="00497E3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keep adjusting this unit of work to increase student engagement</w:t>
            </w:r>
            <w:r w:rsidR="00497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B5979">
              <w:rPr>
                <w:rFonts w:ascii="Arial" w:hAnsi="Arial" w:cs="Arial"/>
                <w:sz w:val="20"/>
                <w:szCs w:val="20"/>
              </w:rPr>
              <w:t>28/1/2016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B5979">
              <w:rPr>
                <w:rFonts w:ascii="Arial" w:hAnsi="Arial" w:cs="Arial"/>
                <w:sz w:val="20"/>
                <w:szCs w:val="20"/>
              </w:rPr>
              <w:t>8/4/2016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413E89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A0F46"/>
    <w:multiLevelType w:val="hybridMultilevel"/>
    <w:tmpl w:val="04C0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DA1"/>
    <w:multiLevelType w:val="hybridMultilevel"/>
    <w:tmpl w:val="15E20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C2F54"/>
    <w:multiLevelType w:val="hybridMultilevel"/>
    <w:tmpl w:val="C854C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26E9"/>
    <w:multiLevelType w:val="hybridMultilevel"/>
    <w:tmpl w:val="DDFC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425C"/>
    <w:multiLevelType w:val="hybridMultilevel"/>
    <w:tmpl w:val="09229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866AC"/>
    <w:multiLevelType w:val="hybridMultilevel"/>
    <w:tmpl w:val="598E17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D9400E"/>
    <w:multiLevelType w:val="hybridMultilevel"/>
    <w:tmpl w:val="44721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6E6FDB"/>
    <w:multiLevelType w:val="hybridMultilevel"/>
    <w:tmpl w:val="00F070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0">
    <w:nsid w:val="13C65318"/>
    <w:multiLevelType w:val="hybridMultilevel"/>
    <w:tmpl w:val="30A44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F7ADF"/>
    <w:multiLevelType w:val="hybridMultilevel"/>
    <w:tmpl w:val="0804E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10FE7"/>
    <w:multiLevelType w:val="hybridMultilevel"/>
    <w:tmpl w:val="C98A5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225AE"/>
    <w:multiLevelType w:val="hybridMultilevel"/>
    <w:tmpl w:val="9ADC768E"/>
    <w:lvl w:ilvl="0" w:tplc="77125880">
      <w:start w:val="10"/>
      <w:numFmt w:val="bullet"/>
      <w:lvlText w:val="-"/>
      <w:lvlJc w:val="left"/>
      <w:pPr>
        <w:ind w:left="1650" w:hanging="360"/>
      </w:pPr>
      <w:rPr>
        <w:rFonts w:ascii="Comic Sans MS" w:eastAsiaTheme="minorEastAsia" w:hAnsi="Comic Sans MS" w:cstheme="minorHAnsi" w:hint="default"/>
      </w:rPr>
    </w:lvl>
    <w:lvl w:ilvl="1" w:tplc="0C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1C244D6B"/>
    <w:multiLevelType w:val="hybridMultilevel"/>
    <w:tmpl w:val="A49C6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52D4A"/>
    <w:multiLevelType w:val="hybridMultilevel"/>
    <w:tmpl w:val="5B5E8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01D77"/>
    <w:multiLevelType w:val="hybridMultilevel"/>
    <w:tmpl w:val="42229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87482"/>
    <w:multiLevelType w:val="hybridMultilevel"/>
    <w:tmpl w:val="DDC8C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B71473"/>
    <w:multiLevelType w:val="hybridMultilevel"/>
    <w:tmpl w:val="D7905938"/>
    <w:lvl w:ilvl="0" w:tplc="73F27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C0AA5"/>
    <w:multiLevelType w:val="hybridMultilevel"/>
    <w:tmpl w:val="A1C48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42EC6"/>
    <w:multiLevelType w:val="hybridMultilevel"/>
    <w:tmpl w:val="196E0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87580"/>
    <w:multiLevelType w:val="hybridMultilevel"/>
    <w:tmpl w:val="11A8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A1183"/>
    <w:multiLevelType w:val="hybridMultilevel"/>
    <w:tmpl w:val="EE388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81F75"/>
    <w:multiLevelType w:val="hybridMultilevel"/>
    <w:tmpl w:val="00A04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80F8C"/>
    <w:multiLevelType w:val="hybridMultilevel"/>
    <w:tmpl w:val="2BF4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F7"/>
    <w:multiLevelType w:val="hybridMultilevel"/>
    <w:tmpl w:val="7658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634AF"/>
    <w:multiLevelType w:val="hybridMultilevel"/>
    <w:tmpl w:val="CB8A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6A8B3433"/>
    <w:multiLevelType w:val="hybridMultilevel"/>
    <w:tmpl w:val="87DED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55158"/>
    <w:multiLevelType w:val="hybridMultilevel"/>
    <w:tmpl w:val="B22C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13EB4"/>
    <w:multiLevelType w:val="hybridMultilevel"/>
    <w:tmpl w:val="68C4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42F04"/>
    <w:multiLevelType w:val="hybridMultilevel"/>
    <w:tmpl w:val="F0F4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D01EF"/>
    <w:multiLevelType w:val="hybridMultilevel"/>
    <w:tmpl w:val="C008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62C37"/>
    <w:multiLevelType w:val="hybridMultilevel"/>
    <w:tmpl w:val="EC181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61E4B"/>
    <w:multiLevelType w:val="hybridMultilevel"/>
    <w:tmpl w:val="C7D0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A717C"/>
    <w:multiLevelType w:val="hybridMultilevel"/>
    <w:tmpl w:val="C0643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7"/>
  </w:num>
  <w:num w:numId="9">
    <w:abstractNumId w:val="13"/>
  </w:num>
  <w:num w:numId="10">
    <w:abstractNumId w:val="10"/>
  </w:num>
  <w:num w:numId="11">
    <w:abstractNumId w:val="30"/>
  </w:num>
  <w:num w:numId="12">
    <w:abstractNumId w:val="4"/>
  </w:num>
  <w:num w:numId="13">
    <w:abstractNumId w:val="2"/>
  </w:num>
  <w:num w:numId="14">
    <w:abstractNumId w:val="3"/>
  </w:num>
  <w:num w:numId="15">
    <w:abstractNumId w:val="23"/>
  </w:num>
  <w:num w:numId="16">
    <w:abstractNumId w:val="6"/>
  </w:num>
  <w:num w:numId="17">
    <w:abstractNumId w:val="14"/>
  </w:num>
  <w:num w:numId="18">
    <w:abstractNumId w:val="8"/>
  </w:num>
  <w:num w:numId="19">
    <w:abstractNumId w:val="15"/>
  </w:num>
  <w:num w:numId="20">
    <w:abstractNumId w:val="22"/>
  </w:num>
  <w:num w:numId="21">
    <w:abstractNumId w:val="28"/>
  </w:num>
  <w:num w:numId="22">
    <w:abstractNumId w:val="33"/>
  </w:num>
  <w:num w:numId="23">
    <w:abstractNumId w:val="26"/>
  </w:num>
  <w:num w:numId="24">
    <w:abstractNumId w:val="31"/>
  </w:num>
  <w:num w:numId="25">
    <w:abstractNumId w:val="24"/>
  </w:num>
  <w:num w:numId="26">
    <w:abstractNumId w:val="29"/>
  </w:num>
  <w:num w:numId="27">
    <w:abstractNumId w:val="32"/>
  </w:num>
  <w:num w:numId="28">
    <w:abstractNumId w:val="5"/>
  </w:num>
  <w:num w:numId="29">
    <w:abstractNumId w:val="20"/>
  </w:num>
  <w:num w:numId="30">
    <w:abstractNumId w:val="25"/>
  </w:num>
  <w:num w:numId="31">
    <w:abstractNumId w:val="16"/>
  </w:num>
  <w:num w:numId="32">
    <w:abstractNumId w:val="21"/>
  </w:num>
  <w:num w:numId="33">
    <w:abstractNumId w:val="1"/>
  </w:num>
  <w:num w:numId="34">
    <w:abstractNumId w:val="19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1147E1"/>
    <w:rsid w:val="001304AB"/>
    <w:rsid w:val="001602AC"/>
    <w:rsid w:val="00184337"/>
    <w:rsid w:val="002421C4"/>
    <w:rsid w:val="002A318D"/>
    <w:rsid w:val="00322F0F"/>
    <w:rsid w:val="00357AF3"/>
    <w:rsid w:val="00413E89"/>
    <w:rsid w:val="00422876"/>
    <w:rsid w:val="00497E32"/>
    <w:rsid w:val="004B6D3E"/>
    <w:rsid w:val="004D0B0C"/>
    <w:rsid w:val="004F57EB"/>
    <w:rsid w:val="0052785E"/>
    <w:rsid w:val="00596776"/>
    <w:rsid w:val="005E517D"/>
    <w:rsid w:val="00634581"/>
    <w:rsid w:val="006A77A1"/>
    <w:rsid w:val="006C0B1A"/>
    <w:rsid w:val="006C48F4"/>
    <w:rsid w:val="006F2626"/>
    <w:rsid w:val="00774464"/>
    <w:rsid w:val="007D4C26"/>
    <w:rsid w:val="00817AD9"/>
    <w:rsid w:val="008800E0"/>
    <w:rsid w:val="008C453E"/>
    <w:rsid w:val="008C76E4"/>
    <w:rsid w:val="008F25CB"/>
    <w:rsid w:val="00963452"/>
    <w:rsid w:val="009C3E1D"/>
    <w:rsid w:val="009E439B"/>
    <w:rsid w:val="00A03B1F"/>
    <w:rsid w:val="00B5192D"/>
    <w:rsid w:val="00BB46F4"/>
    <w:rsid w:val="00C53D5F"/>
    <w:rsid w:val="00C97262"/>
    <w:rsid w:val="00CA353A"/>
    <w:rsid w:val="00D030A5"/>
    <w:rsid w:val="00D60FC9"/>
    <w:rsid w:val="00D9431C"/>
    <w:rsid w:val="00D95FFC"/>
    <w:rsid w:val="00DB5979"/>
    <w:rsid w:val="00E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A03B1F"/>
    <w:pPr>
      <w:spacing w:after="0" w:line="240" w:lineRule="auto"/>
    </w:pPr>
    <w:rPr>
      <w:rFonts w:eastAsiaTheme="minorEastAsia"/>
      <w:lang w:eastAsia="en-AU"/>
    </w:rPr>
  </w:style>
  <w:style w:type="paragraph" w:customStyle="1" w:styleId="tabletext">
    <w:name w:val="tabletext"/>
    <w:basedOn w:val="Normal"/>
    <w:rsid w:val="002A31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D60FC9"/>
    <w:rPr>
      <w:i w:val="0"/>
      <w:iCs w:val="0"/>
      <w:color w:val="009030"/>
    </w:rPr>
  </w:style>
  <w:style w:type="character" w:styleId="FollowedHyperlink">
    <w:name w:val="FollowedHyperlink"/>
    <w:basedOn w:val="DefaultParagraphFont"/>
    <w:uiPriority w:val="99"/>
    <w:semiHidden/>
    <w:unhideWhenUsed/>
    <w:rsid w:val="00357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A03B1F"/>
    <w:pPr>
      <w:spacing w:after="0" w:line="240" w:lineRule="auto"/>
    </w:pPr>
    <w:rPr>
      <w:rFonts w:eastAsiaTheme="minorEastAsia"/>
      <w:lang w:eastAsia="en-AU"/>
    </w:rPr>
  </w:style>
  <w:style w:type="paragraph" w:customStyle="1" w:styleId="tabletext">
    <w:name w:val="tabletext"/>
    <w:basedOn w:val="Normal"/>
    <w:rsid w:val="002A31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D60FC9"/>
    <w:rPr>
      <w:i w:val="0"/>
      <w:iCs w:val="0"/>
      <w:color w:val="009030"/>
    </w:rPr>
  </w:style>
  <w:style w:type="character" w:styleId="FollowedHyperlink">
    <w:name w:val="FollowedHyperlink"/>
    <w:basedOn w:val="DefaultParagraphFont"/>
    <w:uiPriority w:val="99"/>
    <w:semiHidden/>
    <w:unhideWhenUsed/>
    <w:rsid w:val="00357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12</cp:revision>
  <cp:lastPrinted>2016-04-05T04:15:00Z</cp:lastPrinted>
  <dcterms:created xsi:type="dcterms:W3CDTF">2016-02-04T00:40:00Z</dcterms:created>
  <dcterms:modified xsi:type="dcterms:W3CDTF">2016-09-12T04:50:00Z</dcterms:modified>
</cp:coreProperties>
</file>