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5"/>
        <w:gridCol w:w="988"/>
        <w:gridCol w:w="288"/>
        <w:gridCol w:w="494"/>
        <w:gridCol w:w="634"/>
        <w:gridCol w:w="284"/>
        <w:gridCol w:w="859"/>
        <w:gridCol w:w="700"/>
        <w:gridCol w:w="432"/>
        <w:gridCol w:w="672"/>
        <w:gridCol w:w="172"/>
        <w:gridCol w:w="64"/>
        <w:gridCol w:w="223"/>
        <w:gridCol w:w="894"/>
        <w:gridCol w:w="97"/>
        <w:gridCol w:w="150"/>
        <w:gridCol w:w="84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0B1F342D" wp14:editId="47215B11">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7"/>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1"/>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841604">
              <w:rPr>
                <w:rFonts w:ascii="Arial" w:hAnsi="Arial" w:cs="Arial"/>
                <w:b/>
                <w:sz w:val="20"/>
                <w:szCs w:val="20"/>
              </w:rPr>
              <w:t>Fractions</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p>
        </w:tc>
        <w:tc>
          <w:tcPr>
            <w:tcW w:w="1554" w:type="pct"/>
            <w:gridSpan w:val="6"/>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841604">
              <w:rPr>
                <w:rFonts w:ascii="Arial" w:hAnsi="Arial" w:cs="Arial"/>
                <w:b/>
                <w:sz w:val="20"/>
                <w:szCs w:val="20"/>
              </w:rPr>
              <w:t xml:space="preserve"> 10 Weeks</w:t>
            </w:r>
          </w:p>
          <w:p w:rsidR="006A77A1" w:rsidRPr="0047183A" w:rsidRDefault="006A77A1" w:rsidP="000E4EE4">
            <w:pPr>
              <w:spacing w:before="120" w:after="120"/>
              <w:jc w:val="center"/>
              <w:rPr>
                <w:rFonts w:ascii="Arial" w:hAnsi="Arial" w:cs="Arial"/>
                <w:b/>
                <w:sz w:val="20"/>
                <w:szCs w:val="20"/>
              </w:rPr>
            </w:pPr>
            <w:r>
              <w:rPr>
                <w:rFonts w:ascii="Arial" w:hAnsi="Arial" w:cs="Arial"/>
                <w:b/>
                <w:sz w:val="20"/>
                <w:szCs w:val="20"/>
              </w:rPr>
              <w:t xml:space="preserve">By </w:t>
            </w:r>
            <w:bookmarkStart w:id="0" w:name="_GoBack"/>
            <w:bookmarkEnd w:id="0"/>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r w:rsidR="00841604">
              <w:rPr>
                <w:rFonts w:ascii="Arial" w:hAnsi="Arial" w:cs="Arial"/>
                <w:b/>
                <w:sz w:val="20"/>
                <w:szCs w:val="20"/>
              </w:rPr>
              <w:t>4</w:t>
            </w:r>
          </w:p>
        </w:tc>
        <w:tc>
          <w:tcPr>
            <w:tcW w:w="4155" w:type="pct"/>
            <w:gridSpan w:val="17"/>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shd w:val="clear" w:color="auto" w:fill="FFFFFF"/>
              </w:rPr>
              <w:t>MA4-1WM</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rPr>
              <w:t>communicates and connects mathematical ideas using appropriate te</w:t>
            </w:r>
            <w:r>
              <w:rPr>
                <w:rFonts w:ascii="Arial" w:hAnsi="Arial" w:cs="Arial"/>
                <w:sz w:val="18"/>
                <w:szCs w:val="18"/>
              </w:rPr>
              <w:t>rminology, diagrams and symbols</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rPr>
              <w:t>MA4-2WM</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rPr>
              <w:t>applies appropriate mathematic</w:t>
            </w:r>
            <w:r>
              <w:rPr>
                <w:rFonts w:ascii="Arial" w:hAnsi="Arial" w:cs="Arial"/>
                <w:sz w:val="18"/>
                <w:szCs w:val="18"/>
              </w:rPr>
              <w:t>al techniques to solve problems</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rPr>
              <w:t>MA4-3WM</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rPr>
              <w:t>recognises and explains mathematica</w:t>
            </w:r>
            <w:r>
              <w:rPr>
                <w:rFonts w:ascii="Arial" w:hAnsi="Arial" w:cs="Arial"/>
                <w:sz w:val="18"/>
                <w:szCs w:val="18"/>
              </w:rPr>
              <w:t>l relationships using reasoning</w:t>
            </w:r>
          </w:p>
          <w:p w:rsidR="00841604" w:rsidRPr="00841604" w:rsidRDefault="00841604" w:rsidP="00841604">
            <w:pPr>
              <w:spacing w:before="120" w:after="120"/>
              <w:rPr>
                <w:rFonts w:ascii="Arial" w:hAnsi="Arial" w:cs="Arial"/>
                <w:sz w:val="18"/>
                <w:szCs w:val="18"/>
              </w:rPr>
            </w:pPr>
            <w:r w:rsidRPr="00841604">
              <w:rPr>
                <w:rFonts w:ascii="Arial" w:hAnsi="Arial" w:cs="Arial"/>
                <w:sz w:val="18"/>
                <w:szCs w:val="18"/>
              </w:rPr>
              <w:t>MA4-5NA</w:t>
            </w:r>
          </w:p>
          <w:p w:rsidR="006A77A1" w:rsidRPr="00841604" w:rsidRDefault="00841604" w:rsidP="008B3B1D">
            <w:pPr>
              <w:spacing w:before="120" w:after="120"/>
              <w:rPr>
                <w:rFonts w:ascii="Arial" w:hAnsi="Arial" w:cs="Arial"/>
                <w:sz w:val="18"/>
                <w:szCs w:val="18"/>
              </w:rPr>
            </w:pPr>
            <w:r w:rsidRPr="00841604">
              <w:rPr>
                <w:rFonts w:ascii="Arial" w:hAnsi="Arial" w:cs="Arial"/>
                <w:sz w:val="18"/>
                <w:szCs w:val="18"/>
              </w:rPr>
              <w:t>operates with fractions, decimals and percentages</w:t>
            </w:r>
          </w:p>
        </w:tc>
      </w:tr>
      <w:tr w:rsidR="00841604" w:rsidRPr="0047183A" w:rsidTr="00841604">
        <w:trPr>
          <w:trHeight w:val="1560"/>
        </w:trPr>
        <w:tc>
          <w:tcPr>
            <w:tcW w:w="845" w:type="pct"/>
            <w:shd w:val="clear" w:color="auto" w:fill="DBE5F1" w:themeFill="accent1" w:themeFillTint="33"/>
            <w:vAlign w:val="center"/>
          </w:tcPr>
          <w:p w:rsidR="00841604" w:rsidRPr="008F6A2A" w:rsidRDefault="00841604"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841604" w:rsidRPr="0047183A" w:rsidRDefault="00841604"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4155" w:type="pct"/>
            <w:gridSpan w:val="17"/>
            <w:shd w:val="clear" w:color="auto" w:fill="auto"/>
          </w:tcPr>
          <w:p w:rsidR="00841604" w:rsidRPr="00AF420D" w:rsidRDefault="00841604" w:rsidP="008B3B1D">
            <w:pPr>
              <w:spacing w:before="120"/>
              <w:rPr>
                <w:rFonts w:ascii="Arial" w:hAnsi="Arial" w:cs="Arial"/>
                <w:b/>
                <w:sz w:val="18"/>
                <w:szCs w:val="20"/>
              </w:rPr>
            </w:pPr>
            <w:r w:rsidRPr="00AF420D">
              <w:rPr>
                <w:rFonts w:ascii="Arial" w:hAnsi="Arial" w:cs="Arial"/>
                <w:b/>
                <w:sz w:val="18"/>
                <w:szCs w:val="20"/>
              </w:rPr>
              <w:t>Students learn to:</w:t>
            </w:r>
          </w:p>
          <w:p w:rsidR="00841604" w:rsidRDefault="00841604" w:rsidP="00841604">
            <w:pPr>
              <w:numPr>
                <w:ilvl w:val="0"/>
                <w:numId w:val="5"/>
              </w:numPr>
              <w:shd w:val="clear" w:color="auto" w:fill="FFFFFF"/>
              <w:spacing w:after="150" w:line="286" w:lineRule="atLeast"/>
              <w:ind w:left="0"/>
              <w:rPr>
                <w:rFonts w:ascii="Helvetica" w:hAnsi="Helvetica" w:cs="Helvetica"/>
                <w:color w:val="000000"/>
                <w:sz w:val="20"/>
                <w:szCs w:val="20"/>
              </w:rPr>
            </w:pPr>
            <w:r>
              <w:rPr>
                <w:rFonts w:ascii="Helvetica" w:hAnsi="Helvetica" w:cs="Helvetica"/>
                <w:color w:val="000000"/>
                <w:sz w:val="20"/>
                <w:szCs w:val="20"/>
              </w:rPr>
              <w:t>Compare </w:t>
            </w:r>
            <w:hyperlink r:id="rId7" w:tgtFrame="_blank" w:tooltip="Click for more information about 'fractions'" w:history="1">
              <w:r>
                <w:rPr>
                  <w:rStyle w:val="Hyperlink"/>
                  <w:rFonts w:ascii="Helvetica" w:hAnsi="Helvetica" w:cs="Helvetica"/>
                  <w:sz w:val="20"/>
                  <w:szCs w:val="20"/>
                </w:rPr>
                <w:t>fractions</w:t>
              </w:r>
            </w:hyperlink>
            <w:r>
              <w:rPr>
                <w:rStyle w:val="apple-converted-space"/>
                <w:rFonts w:ascii="Helvetica" w:hAnsi="Helvetica" w:cs="Helvetica"/>
                <w:color w:val="000000"/>
                <w:sz w:val="20"/>
                <w:szCs w:val="20"/>
              </w:rPr>
              <w:t> </w:t>
            </w:r>
            <w:r>
              <w:rPr>
                <w:rFonts w:ascii="Helvetica" w:hAnsi="Helvetica" w:cs="Helvetica"/>
                <w:color w:val="000000"/>
                <w:sz w:val="20"/>
                <w:szCs w:val="20"/>
              </w:rPr>
              <w:t>using equivalence; locate and represent positive and negative fractions and mixed </w:t>
            </w:r>
            <w:hyperlink r:id="rId8" w:tgtFrame="_blank" w:tooltip="Click for more information about 'numerals'" w:history="1">
              <w:r>
                <w:rPr>
                  <w:rStyle w:val="Hyperlink"/>
                  <w:rFonts w:ascii="Helvetica" w:hAnsi="Helvetica" w:cs="Helvetica"/>
                  <w:sz w:val="20"/>
                  <w:szCs w:val="20"/>
                </w:rPr>
                <w:t>numerals</w:t>
              </w:r>
            </w:hyperlink>
            <w:r>
              <w:rPr>
                <w:rStyle w:val="apple-converted-space"/>
                <w:rFonts w:ascii="Helvetica" w:hAnsi="Helvetica" w:cs="Helvetica"/>
                <w:color w:val="000000"/>
                <w:sz w:val="20"/>
                <w:szCs w:val="20"/>
              </w:rPr>
              <w:t> </w:t>
            </w:r>
            <w:r>
              <w:rPr>
                <w:rFonts w:ascii="Helvetica" w:hAnsi="Helvetica" w:cs="Helvetica"/>
                <w:color w:val="000000"/>
                <w:sz w:val="20"/>
                <w:szCs w:val="20"/>
              </w:rPr>
              <w:t>on a</w:t>
            </w:r>
            <w:r>
              <w:rPr>
                <w:rStyle w:val="apple-converted-space"/>
                <w:rFonts w:ascii="Helvetica" w:hAnsi="Helvetica" w:cs="Helvetica"/>
                <w:color w:val="000000"/>
                <w:sz w:val="20"/>
                <w:szCs w:val="20"/>
              </w:rPr>
              <w:t> </w:t>
            </w:r>
            <w:hyperlink r:id="rId9" w:tgtFrame="_blank" w:tooltip="Click for more information about 'number line'" w:history="1">
              <w:r>
                <w:rPr>
                  <w:rStyle w:val="Hyperlink"/>
                  <w:rFonts w:ascii="Helvetica" w:hAnsi="Helvetica" w:cs="Helvetica"/>
                  <w:sz w:val="20"/>
                  <w:szCs w:val="20"/>
                </w:rPr>
                <w:t>number line</w:t>
              </w:r>
            </w:hyperlink>
            <w:r>
              <w:rPr>
                <w:rStyle w:val="apple-converted-space"/>
                <w:rFonts w:ascii="Helvetica" w:hAnsi="Helvetica" w:cs="Helvetica"/>
                <w:color w:val="000000"/>
                <w:sz w:val="20"/>
                <w:szCs w:val="20"/>
              </w:rPr>
              <w:t> </w:t>
            </w:r>
            <w:r>
              <w:rPr>
                <w:rStyle w:val="ref"/>
                <w:rFonts w:ascii="Helvetica" w:hAnsi="Helvetica" w:cs="Helvetica"/>
                <w:color w:val="838383"/>
                <w:sz w:val="18"/>
                <w:szCs w:val="18"/>
              </w:rPr>
              <w:t>(ACMNA152)</w:t>
            </w:r>
          </w:p>
          <w:p w:rsidR="00841604" w:rsidRPr="00841604" w:rsidRDefault="00841604" w:rsidP="00841604">
            <w:pPr>
              <w:pStyle w:val="ListParagraph"/>
              <w:numPr>
                <w:ilvl w:val="0"/>
                <w:numId w:val="5"/>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determine the </w:t>
            </w:r>
            <w:hyperlink r:id="rId10" w:tgtFrame="_blank" w:tooltip="Click for more information about 'highest common factor'" w:history="1">
              <w:r w:rsidRPr="00841604">
                <w:rPr>
                  <w:rStyle w:val="Hyperlink"/>
                  <w:rFonts w:ascii="Helvetica" w:hAnsi="Helvetica" w:cs="Helvetica"/>
                  <w:sz w:val="20"/>
                  <w:szCs w:val="20"/>
                </w:rPr>
                <w:t>highest common factor</w:t>
              </w:r>
            </w:hyperlink>
            <w:r w:rsidRPr="00841604">
              <w:rPr>
                <w:rStyle w:val="apple-converted-space"/>
                <w:rFonts w:ascii="Helvetica" w:hAnsi="Helvetica" w:cs="Helvetica"/>
                <w:color w:val="000000"/>
                <w:sz w:val="20"/>
                <w:szCs w:val="20"/>
              </w:rPr>
              <w:t> </w:t>
            </w:r>
            <w:r w:rsidRPr="00841604">
              <w:rPr>
                <w:rFonts w:ascii="Helvetica" w:hAnsi="Helvetica" w:cs="Helvetica"/>
                <w:color w:val="000000"/>
                <w:sz w:val="20"/>
                <w:szCs w:val="20"/>
              </w:rPr>
              <w:t>(HCF) of numbers and the lowest common </w:t>
            </w:r>
            <w:hyperlink r:id="rId11" w:tgtFrame="_blank" w:tooltip="Click for more information about 'multiple'" w:history="1">
              <w:r w:rsidRPr="00841604">
                <w:rPr>
                  <w:rStyle w:val="Hyperlink"/>
                  <w:rFonts w:ascii="Helvetica" w:hAnsi="Helvetica" w:cs="Helvetica"/>
                  <w:sz w:val="20"/>
                  <w:szCs w:val="20"/>
                </w:rPr>
                <w:t>multiple</w:t>
              </w:r>
            </w:hyperlink>
            <w:r w:rsidRPr="00841604">
              <w:rPr>
                <w:rStyle w:val="apple-converted-space"/>
                <w:rFonts w:ascii="Helvetica" w:hAnsi="Helvetica" w:cs="Helvetica"/>
                <w:color w:val="000000"/>
                <w:sz w:val="20"/>
                <w:szCs w:val="20"/>
              </w:rPr>
              <w:t> </w:t>
            </w:r>
            <w:r w:rsidRPr="00841604">
              <w:rPr>
                <w:rFonts w:ascii="Helvetica" w:hAnsi="Helvetica" w:cs="Helvetica"/>
                <w:color w:val="000000"/>
                <w:sz w:val="20"/>
                <w:szCs w:val="20"/>
              </w:rPr>
              <w:t>(LCM) of numbers</w:t>
            </w:r>
          </w:p>
          <w:p w:rsidR="00841604" w:rsidRPr="00841604" w:rsidRDefault="00841604" w:rsidP="00841604">
            <w:pPr>
              <w:pStyle w:val="ListParagraph"/>
              <w:numPr>
                <w:ilvl w:val="0"/>
                <w:numId w:val="5"/>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generate</w:t>
            </w:r>
            <w:r w:rsidRPr="00841604">
              <w:rPr>
                <w:rStyle w:val="apple-converted-space"/>
                <w:rFonts w:ascii="Helvetica" w:hAnsi="Helvetica" w:cs="Helvetica"/>
                <w:color w:val="000000"/>
                <w:sz w:val="20"/>
                <w:szCs w:val="20"/>
              </w:rPr>
              <w:t> </w:t>
            </w:r>
            <w:hyperlink r:id="rId12" w:tgtFrame="_blank" w:tooltip="Click for more information about 'equivalent fractions'" w:history="1">
              <w:r w:rsidRPr="00841604">
                <w:rPr>
                  <w:rStyle w:val="Hyperlink"/>
                  <w:rFonts w:ascii="Helvetica" w:hAnsi="Helvetica" w:cs="Helvetica"/>
                  <w:sz w:val="20"/>
                  <w:szCs w:val="20"/>
                </w:rPr>
                <w:t>equivalent fractions</w:t>
              </w:r>
            </w:hyperlink>
          </w:p>
          <w:p w:rsidR="00841604" w:rsidRPr="00841604" w:rsidRDefault="00841604" w:rsidP="00841604">
            <w:pPr>
              <w:pStyle w:val="ListParagraph"/>
              <w:numPr>
                <w:ilvl w:val="0"/>
                <w:numId w:val="5"/>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write a fraction in its simplest form</w:t>
            </w:r>
          </w:p>
          <w:p w:rsidR="00841604" w:rsidRPr="00841604" w:rsidRDefault="00841604" w:rsidP="00841604">
            <w:pPr>
              <w:pStyle w:val="ListParagraph"/>
              <w:numPr>
                <w:ilvl w:val="0"/>
                <w:numId w:val="5"/>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express improper fractions as mixed numerals and vice versa</w:t>
            </w:r>
          </w:p>
          <w:p w:rsidR="00841604" w:rsidRDefault="00841604" w:rsidP="00841604">
            <w:pPr>
              <w:numPr>
                <w:ilvl w:val="0"/>
                <w:numId w:val="7"/>
              </w:numPr>
              <w:shd w:val="clear" w:color="auto" w:fill="FFFFFF"/>
              <w:spacing w:after="150" w:line="286" w:lineRule="atLeast"/>
              <w:ind w:left="0"/>
              <w:rPr>
                <w:rFonts w:ascii="Helvetica" w:hAnsi="Helvetica" w:cs="Helvetica"/>
                <w:color w:val="000000"/>
                <w:sz w:val="20"/>
                <w:szCs w:val="20"/>
              </w:rPr>
            </w:pPr>
            <w:r>
              <w:rPr>
                <w:rFonts w:ascii="Helvetica" w:hAnsi="Helvetica" w:cs="Helvetica"/>
                <w:color w:val="000000"/>
                <w:sz w:val="20"/>
                <w:szCs w:val="20"/>
              </w:rPr>
              <w:t>Solve problems involving addition and subtraction of fractions, including those with unrelated</w:t>
            </w:r>
            <w:r>
              <w:rPr>
                <w:rStyle w:val="apple-converted-space"/>
                <w:rFonts w:ascii="Helvetica" w:hAnsi="Helvetica" w:cs="Helvetica"/>
                <w:color w:val="000000"/>
                <w:sz w:val="20"/>
                <w:szCs w:val="20"/>
              </w:rPr>
              <w:t> </w:t>
            </w:r>
            <w:hyperlink r:id="rId13" w:tgtFrame="_blank" w:tooltip="Click for more information about 'denominators'" w:history="1">
              <w:r>
                <w:rPr>
                  <w:rStyle w:val="Hyperlink"/>
                  <w:rFonts w:ascii="Helvetica" w:hAnsi="Helvetica" w:cs="Helvetica"/>
                  <w:sz w:val="20"/>
                  <w:szCs w:val="20"/>
                </w:rPr>
                <w:t>denominators</w:t>
              </w:r>
            </w:hyperlink>
            <w:r>
              <w:rPr>
                <w:rStyle w:val="apple-converted-space"/>
                <w:rFonts w:ascii="Helvetica" w:hAnsi="Helvetica" w:cs="Helvetica"/>
                <w:color w:val="000000"/>
                <w:sz w:val="20"/>
                <w:szCs w:val="20"/>
              </w:rPr>
              <w:t> </w:t>
            </w:r>
            <w:r>
              <w:rPr>
                <w:rStyle w:val="ref"/>
                <w:rFonts w:ascii="Helvetica" w:hAnsi="Helvetica" w:cs="Helvetica"/>
                <w:color w:val="838383"/>
                <w:sz w:val="18"/>
                <w:szCs w:val="18"/>
              </w:rPr>
              <w:t>(ACMNA153)</w:t>
            </w:r>
          </w:p>
          <w:p w:rsidR="00841604" w:rsidRDefault="00841604" w:rsidP="00841604">
            <w:pPr>
              <w:numPr>
                <w:ilvl w:val="0"/>
                <w:numId w:val="7"/>
              </w:numPr>
              <w:shd w:val="clear" w:color="auto" w:fill="FFFFFF"/>
              <w:spacing w:after="75" w:line="286" w:lineRule="atLeast"/>
              <w:rPr>
                <w:rFonts w:ascii="Helvetica" w:hAnsi="Helvetica" w:cs="Helvetica"/>
                <w:color w:val="000000"/>
                <w:sz w:val="20"/>
                <w:szCs w:val="20"/>
              </w:rPr>
            </w:pPr>
            <w:r>
              <w:rPr>
                <w:rFonts w:ascii="Helvetica" w:hAnsi="Helvetica" w:cs="Helvetica"/>
                <w:color w:val="000000"/>
                <w:sz w:val="20"/>
                <w:szCs w:val="20"/>
              </w:rPr>
              <w:t>add and subtract fractions, including mixed numerals and fractions with unrelated denominators, using written and calculator methods</w:t>
            </w:r>
          </w:p>
          <w:p w:rsidR="00841604" w:rsidRDefault="00841604" w:rsidP="00841604">
            <w:pPr>
              <w:numPr>
                <w:ilvl w:val="0"/>
                <w:numId w:val="7"/>
              </w:numPr>
              <w:shd w:val="clear" w:color="auto" w:fill="FFFFFF"/>
              <w:spacing w:line="286" w:lineRule="atLeast"/>
              <w:rPr>
                <w:rFonts w:ascii="Helvetica" w:hAnsi="Helvetica" w:cs="Helvetica"/>
                <w:color w:val="000000"/>
                <w:sz w:val="20"/>
                <w:szCs w:val="20"/>
              </w:rPr>
            </w:pPr>
            <w:r>
              <w:rPr>
                <w:rFonts w:ascii="Helvetica" w:hAnsi="Helvetica" w:cs="Helvetica"/>
                <w:color w:val="000000"/>
                <w:sz w:val="20"/>
                <w:szCs w:val="20"/>
              </w:rPr>
              <w:t>recognise and explain incorrect </w:t>
            </w:r>
            <w:hyperlink r:id="rId14" w:tgtFrame="_blank" w:tooltip="Click for more information about 'operations'" w:history="1">
              <w:r>
                <w:rPr>
                  <w:rStyle w:val="Hyperlink"/>
                  <w:rFonts w:ascii="Helvetica" w:hAnsi="Helvetica" w:cs="Helvetica"/>
                  <w:sz w:val="20"/>
                  <w:szCs w:val="20"/>
                </w:rPr>
                <w:t>operations</w:t>
              </w:r>
            </w:hyperlink>
            <w:r>
              <w:rPr>
                <w:rStyle w:val="apple-converted-space"/>
                <w:rFonts w:ascii="Helvetica" w:hAnsi="Helvetica" w:cs="Helvetica"/>
                <w:color w:val="000000"/>
                <w:sz w:val="20"/>
                <w:szCs w:val="20"/>
              </w:rPr>
              <w:t> </w:t>
            </w:r>
            <w:r>
              <w:rPr>
                <w:rFonts w:ascii="Helvetica" w:hAnsi="Helvetica" w:cs="Helvetica"/>
                <w:color w:val="000000"/>
                <w:sz w:val="20"/>
                <w:szCs w:val="20"/>
              </w:rPr>
              <w:t xml:space="preserve">with fractions, </w:t>
            </w:r>
            <w:proofErr w:type="spellStart"/>
            <w:r>
              <w:rPr>
                <w:rFonts w:ascii="Helvetica" w:hAnsi="Helvetica" w:cs="Helvetica"/>
                <w:color w:val="000000"/>
                <w:sz w:val="20"/>
                <w:szCs w:val="20"/>
              </w:rPr>
              <w:t>eg</w:t>
            </w:r>
            <w:proofErr w:type="spellEnd"/>
            <w:r>
              <w:rPr>
                <w:rFonts w:ascii="Helvetica" w:hAnsi="Helvetica" w:cs="Helvetica"/>
                <w:color w:val="000000"/>
                <w:sz w:val="20"/>
                <w:szCs w:val="20"/>
              </w:rPr>
              <w:t> explain why</w:t>
            </w:r>
            <w:r>
              <w:rPr>
                <w:rStyle w:val="apple-converted-space"/>
                <w:rFonts w:ascii="Helvetica" w:hAnsi="Helvetica" w:cs="Helvetica"/>
                <w:color w:val="000000"/>
                <w:sz w:val="20"/>
                <w:szCs w:val="20"/>
              </w:rPr>
              <w:t> </w:t>
            </w:r>
            <w:r>
              <w:rPr>
                <w:rStyle w:val="mn"/>
                <w:rFonts w:ascii="MathJax_Main" w:hAnsi="MathJax_Main" w:cs="Helvetica"/>
                <w:color w:val="000000"/>
                <w:sz w:val="17"/>
                <w:szCs w:val="17"/>
                <w:bdr w:val="none" w:sz="0" w:space="0" w:color="auto" w:frame="1"/>
              </w:rPr>
              <w:t>23</w:t>
            </w:r>
            <w:r>
              <w:rPr>
                <w:rStyle w:val="mo"/>
                <w:rFonts w:ascii="MathJax_Main" w:hAnsi="MathJax_Main" w:cs="Helvetica"/>
                <w:color w:val="000000"/>
                <w:bdr w:val="none" w:sz="0" w:space="0" w:color="auto" w:frame="1"/>
              </w:rPr>
              <w:t>+</w:t>
            </w:r>
            <w:r>
              <w:rPr>
                <w:rStyle w:val="mn"/>
                <w:rFonts w:ascii="MathJax_Main" w:hAnsi="MathJax_Main" w:cs="Helvetica"/>
                <w:color w:val="000000"/>
                <w:sz w:val="17"/>
                <w:szCs w:val="17"/>
                <w:bdr w:val="none" w:sz="0" w:space="0" w:color="auto" w:frame="1"/>
              </w:rPr>
              <w:t>14</w:t>
            </w:r>
            <w:r>
              <w:rPr>
                <w:rStyle w:val="mo"/>
                <w:rFonts w:ascii="MathJax_Main" w:hAnsi="MathJax_Main" w:cs="Helvetica"/>
                <w:color w:val="000000"/>
                <w:bdr w:val="none" w:sz="0" w:space="0" w:color="auto" w:frame="1"/>
              </w:rPr>
              <w:t>≠</w:t>
            </w:r>
            <w:r>
              <w:rPr>
                <w:rStyle w:val="mn"/>
                <w:rFonts w:ascii="MathJax_Main" w:hAnsi="MathJax_Main" w:cs="Helvetica"/>
                <w:color w:val="000000"/>
                <w:sz w:val="17"/>
                <w:szCs w:val="17"/>
                <w:bdr w:val="none" w:sz="0" w:space="0" w:color="auto" w:frame="1"/>
              </w:rPr>
              <w:t>37</w:t>
            </w:r>
            <w:r>
              <w:rPr>
                <w:rStyle w:val="apple-converted-space"/>
                <w:rFonts w:ascii="Helvetica" w:hAnsi="Helvetica" w:cs="Helvetica"/>
                <w:color w:val="000000"/>
                <w:sz w:val="20"/>
                <w:szCs w:val="20"/>
              </w:rPr>
              <w:t> </w:t>
            </w:r>
            <w:r>
              <w:rPr>
                <w:rFonts w:ascii="Helvetica" w:hAnsi="Helvetica" w:cs="Helvetica"/>
                <w:color w:val="000000"/>
                <w:sz w:val="20"/>
                <w:szCs w:val="20"/>
              </w:rPr>
              <w:t>(Communicating, Reasoning)</w:t>
            </w:r>
            <w:r>
              <w:rPr>
                <w:rFonts w:ascii="Helvetica" w:hAnsi="Helvetica" w:cs="Helvetica"/>
                <w:noProof/>
                <w:color w:val="000000"/>
                <w:sz w:val="20"/>
                <w:szCs w:val="20"/>
              </w:rPr>
              <w:drawing>
                <wp:inline distT="0" distB="0" distL="0" distR="0" wp14:anchorId="24CBD083" wp14:editId="3A0AFADF">
                  <wp:extent cx="152400" cy="152400"/>
                  <wp:effectExtent l="0" t="0" r="0" b="0"/>
                  <wp:docPr id="3" name="Picture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52470937" wp14:editId="0A395268">
                  <wp:extent cx="152400" cy="152400"/>
                  <wp:effectExtent l="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1604" w:rsidRDefault="00841604" w:rsidP="00841604">
            <w:pPr>
              <w:numPr>
                <w:ilvl w:val="0"/>
                <w:numId w:val="7"/>
              </w:numPr>
              <w:shd w:val="clear" w:color="auto" w:fill="FFFFFF"/>
              <w:spacing w:after="75" w:line="286" w:lineRule="atLeast"/>
              <w:rPr>
                <w:rFonts w:ascii="Helvetica" w:hAnsi="Helvetica" w:cs="Helvetica"/>
                <w:color w:val="000000"/>
                <w:sz w:val="20"/>
                <w:szCs w:val="20"/>
              </w:rPr>
            </w:pPr>
            <w:r>
              <w:rPr>
                <w:rFonts w:ascii="Helvetica" w:hAnsi="Helvetica" w:cs="Helvetica"/>
                <w:color w:val="000000"/>
                <w:sz w:val="20"/>
                <w:szCs w:val="20"/>
              </w:rPr>
              <w:t>interpret fractions and mixed numerals on a calculator display (Communicating)</w:t>
            </w:r>
            <w:r>
              <w:rPr>
                <w:rStyle w:val="apple-converted-space"/>
                <w:rFonts w:ascii="Helvetica" w:hAnsi="Helvetica" w:cs="Helvetica"/>
                <w:color w:val="000000"/>
                <w:sz w:val="20"/>
                <w:szCs w:val="20"/>
              </w:rPr>
              <w:t> </w:t>
            </w:r>
            <w:r>
              <w:rPr>
                <w:rFonts w:ascii="Helvetica" w:hAnsi="Helvetica" w:cs="Helvetica"/>
                <w:noProof/>
                <w:color w:val="000000"/>
                <w:sz w:val="20"/>
                <w:szCs w:val="20"/>
              </w:rPr>
              <w:drawing>
                <wp:inline distT="0" distB="0" distL="0" distR="0" wp14:anchorId="541B27F0" wp14:editId="30D7F8F5">
                  <wp:extent cx="152400" cy="152400"/>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1604" w:rsidRPr="00841604" w:rsidRDefault="00841604" w:rsidP="00841604">
            <w:pPr>
              <w:numPr>
                <w:ilvl w:val="0"/>
                <w:numId w:val="7"/>
              </w:numPr>
              <w:shd w:val="clear" w:color="auto" w:fill="FFFFFF"/>
              <w:spacing w:line="286" w:lineRule="atLeast"/>
              <w:rPr>
                <w:rStyle w:val="mn"/>
                <w:rFonts w:ascii="Helvetica" w:hAnsi="Helvetica" w:cs="Helvetica"/>
                <w:color w:val="000000"/>
                <w:sz w:val="20"/>
                <w:szCs w:val="20"/>
              </w:rPr>
            </w:pPr>
            <w:r>
              <w:rPr>
                <w:rFonts w:ascii="Helvetica" w:hAnsi="Helvetica" w:cs="Helvetica"/>
                <w:color w:val="000000"/>
                <w:sz w:val="20"/>
                <w:szCs w:val="20"/>
              </w:rPr>
              <w:t>subtract a fraction from a </w:t>
            </w:r>
            <w:hyperlink r:id="rId17" w:tgtFrame="_blank" w:tooltip="Click for more information about 'whole number'" w:history="1">
              <w:r>
                <w:rPr>
                  <w:rStyle w:val="Hyperlink"/>
                  <w:rFonts w:ascii="Helvetica" w:hAnsi="Helvetica" w:cs="Helvetica"/>
                  <w:sz w:val="20"/>
                  <w:szCs w:val="20"/>
                </w:rPr>
                <w:t>whole number</w:t>
              </w:r>
            </w:hyperlink>
            <w:r>
              <w:rPr>
                <w:rStyle w:val="apple-converted-space"/>
                <w:rFonts w:ascii="Helvetica" w:hAnsi="Helvetica" w:cs="Helvetica"/>
                <w:color w:val="000000"/>
                <w:sz w:val="20"/>
                <w:szCs w:val="20"/>
              </w:rPr>
              <w:t> </w:t>
            </w:r>
            <w:r>
              <w:rPr>
                <w:rFonts w:ascii="Helvetica" w:hAnsi="Helvetica" w:cs="Helvetica"/>
                <w:color w:val="000000"/>
                <w:sz w:val="20"/>
                <w:szCs w:val="20"/>
              </w:rPr>
              <w:t>using mental, written and calculator methods,</w:t>
            </w:r>
            <w:r>
              <w:rPr>
                <w:rFonts w:ascii="Helvetica" w:hAnsi="Helvetica" w:cs="Helvetica"/>
                <w:color w:val="000000"/>
                <w:sz w:val="20"/>
                <w:szCs w:val="20"/>
              </w:rPr>
              <w:br/>
            </w:r>
            <w:proofErr w:type="spellStart"/>
            <w:r>
              <w:rPr>
                <w:rFonts w:ascii="Helvetica" w:hAnsi="Helvetica" w:cs="Helvetica"/>
                <w:color w:val="000000"/>
                <w:sz w:val="20"/>
                <w:szCs w:val="20"/>
              </w:rPr>
              <w:t>eg</w:t>
            </w:r>
            <w:proofErr w:type="spellEnd"/>
            <w:r>
              <w:rPr>
                <w:rFonts w:ascii="Helvetica" w:hAnsi="Helvetica" w:cs="Helvetica"/>
                <w:color w:val="000000"/>
                <w:sz w:val="20"/>
                <w:szCs w:val="20"/>
              </w:rPr>
              <w:t> </w:t>
            </w:r>
            <w:r>
              <w:rPr>
                <w:rStyle w:val="mn"/>
                <w:rFonts w:ascii="MathJax_Main" w:hAnsi="MathJax_Main" w:cs="Helvetica"/>
                <w:color w:val="000000"/>
                <w:bdr w:val="none" w:sz="0" w:space="0" w:color="auto" w:frame="1"/>
              </w:rPr>
              <w:t>3</w:t>
            </w:r>
            <w:r>
              <w:rPr>
                <w:rStyle w:val="mo"/>
                <w:rFonts w:ascii="MathJax_Main" w:hAnsi="MathJax_Main" w:cs="Helvetica"/>
                <w:color w:val="000000"/>
                <w:bdr w:val="none" w:sz="0" w:space="0" w:color="auto" w:frame="1"/>
              </w:rPr>
              <w:t>−</w:t>
            </w:r>
            <w:r>
              <w:rPr>
                <w:rStyle w:val="mn"/>
                <w:rFonts w:ascii="MathJax_Main" w:hAnsi="MathJax_Main" w:cs="Helvetica"/>
                <w:color w:val="000000"/>
                <w:sz w:val="17"/>
                <w:szCs w:val="17"/>
                <w:bdr w:val="none" w:sz="0" w:space="0" w:color="auto" w:frame="1"/>
              </w:rPr>
              <w:t>23</w:t>
            </w:r>
            <w:r>
              <w:rPr>
                <w:rStyle w:val="mo"/>
                <w:rFonts w:ascii="MathJax_Main" w:hAnsi="MathJax_Main" w:cs="Helvetica"/>
                <w:color w:val="000000"/>
                <w:bdr w:val="none" w:sz="0" w:space="0" w:color="auto" w:frame="1"/>
              </w:rPr>
              <w:t>=</w:t>
            </w:r>
            <w:r>
              <w:rPr>
                <w:rStyle w:val="mn"/>
                <w:rFonts w:ascii="MathJax_Main" w:hAnsi="MathJax_Main" w:cs="Helvetica"/>
                <w:color w:val="000000"/>
                <w:bdr w:val="none" w:sz="0" w:space="0" w:color="auto" w:frame="1"/>
              </w:rPr>
              <w:t>2</w:t>
            </w:r>
            <w:r>
              <w:rPr>
                <w:rStyle w:val="mo"/>
                <w:rFonts w:ascii="MathJax_Main" w:hAnsi="MathJax_Main" w:cs="Helvetica"/>
                <w:color w:val="000000"/>
                <w:bdr w:val="none" w:sz="0" w:space="0" w:color="auto" w:frame="1"/>
              </w:rPr>
              <w:t>+</w:t>
            </w:r>
            <w:r>
              <w:rPr>
                <w:rStyle w:val="mn"/>
                <w:rFonts w:ascii="MathJax_Main" w:hAnsi="MathJax_Main" w:cs="Helvetica"/>
                <w:color w:val="000000"/>
                <w:bdr w:val="none" w:sz="0" w:space="0" w:color="auto" w:frame="1"/>
              </w:rPr>
              <w:t>1</w:t>
            </w:r>
            <w:r>
              <w:rPr>
                <w:rStyle w:val="mo"/>
                <w:rFonts w:ascii="MathJax_Main" w:hAnsi="MathJax_Main" w:cs="Helvetica"/>
                <w:color w:val="000000"/>
                <w:bdr w:val="none" w:sz="0" w:space="0" w:color="auto" w:frame="1"/>
              </w:rPr>
              <w:t>−</w:t>
            </w:r>
            <w:r>
              <w:rPr>
                <w:rStyle w:val="mn"/>
                <w:rFonts w:ascii="MathJax_Main" w:hAnsi="MathJax_Main" w:cs="Helvetica"/>
                <w:color w:val="000000"/>
                <w:sz w:val="17"/>
                <w:szCs w:val="17"/>
                <w:bdr w:val="none" w:sz="0" w:space="0" w:color="auto" w:frame="1"/>
              </w:rPr>
              <w:t>23</w:t>
            </w:r>
            <w:r>
              <w:rPr>
                <w:rStyle w:val="mo"/>
                <w:rFonts w:ascii="MathJax_Main" w:hAnsi="MathJax_Main" w:cs="Helvetica"/>
                <w:color w:val="000000"/>
                <w:bdr w:val="none" w:sz="0" w:space="0" w:color="auto" w:frame="1"/>
              </w:rPr>
              <w:t>=</w:t>
            </w:r>
            <w:r>
              <w:rPr>
                <w:rStyle w:val="mn"/>
                <w:rFonts w:ascii="MathJax_Main" w:hAnsi="MathJax_Main" w:cs="Helvetica"/>
                <w:color w:val="000000"/>
                <w:bdr w:val="none" w:sz="0" w:space="0" w:color="auto" w:frame="1"/>
              </w:rPr>
              <w:t>2</w:t>
            </w:r>
            <w:r>
              <w:rPr>
                <w:rStyle w:val="mn"/>
                <w:rFonts w:ascii="MathJax_Main" w:hAnsi="MathJax_Main" w:cs="Helvetica"/>
                <w:color w:val="000000"/>
                <w:sz w:val="17"/>
                <w:szCs w:val="17"/>
                <w:bdr w:val="none" w:sz="0" w:space="0" w:color="auto" w:frame="1"/>
              </w:rPr>
              <w:t>13</w:t>
            </w:r>
          </w:p>
          <w:p w:rsidR="00841604" w:rsidRPr="00841604" w:rsidRDefault="00841604" w:rsidP="00841604">
            <w:pPr>
              <w:numPr>
                <w:ilvl w:val="0"/>
                <w:numId w:val="11"/>
              </w:numPr>
              <w:shd w:val="clear" w:color="auto" w:fill="FFFFFF"/>
              <w:spacing w:after="150" w:line="286" w:lineRule="atLeast"/>
              <w:ind w:left="0"/>
              <w:rPr>
                <w:rFonts w:ascii="Helvetica" w:hAnsi="Helvetica" w:cs="Helvetica"/>
                <w:color w:val="000000"/>
                <w:sz w:val="20"/>
                <w:szCs w:val="20"/>
              </w:rPr>
            </w:pPr>
            <w:r>
              <w:rPr>
                <w:rFonts w:ascii="Helvetica" w:hAnsi="Helvetica" w:cs="Helvetica"/>
                <w:color w:val="000000"/>
                <w:sz w:val="20"/>
                <w:szCs w:val="20"/>
              </w:rPr>
              <w:t>Connect fractions, decimals and </w:t>
            </w:r>
            <w:hyperlink r:id="rId18" w:tgtFrame="_blank" w:tooltip="Click for more information about 'percentages'" w:history="1">
              <w:r>
                <w:rPr>
                  <w:rStyle w:val="Hyperlink"/>
                  <w:rFonts w:ascii="Helvetica" w:hAnsi="Helvetica" w:cs="Helvetica"/>
                  <w:sz w:val="20"/>
                  <w:szCs w:val="20"/>
                </w:rPr>
                <w:t>percentages</w:t>
              </w:r>
            </w:hyperlink>
            <w:r>
              <w:rPr>
                <w:rStyle w:val="apple-converted-space"/>
                <w:rFonts w:ascii="Helvetica" w:hAnsi="Helvetica" w:cs="Helvetica"/>
                <w:color w:val="000000"/>
                <w:sz w:val="20"/>
                <w:szCs w:val="20"/>
              </w:rPr>
              <w:t> </w:t>
            </w:r>
            <w:r>
              <w:rPr>
                <w:rFonts w:ascii="Helvetica" w:hAnsi="Helvetica" w:cs="Helvetica"/>
                <w:color w:val="000000"/>
                <w:sz w:val="20"/>
                <w:szCs w:val="20"/>
              </w:rPr>
              <w:t>and carry out simple conversions</w:t>
            </w:r>
            <w:r>
              <w:rPr>
                <w:rStyle w:val="apple-converted-space"/>
                <w:rFonts w:ascii="Helvetica" w:hAnsi="Helvetica" w:cs="Helvetica"/>
                <w:color w:val="000000"/>
                <w:sz w:val="20"/>
                <w:szCs w:val="20"/>
              </w:rPr>
              <w:t> </w:t>
            </w:r>
            <w:r>
              <w:rPr>
                <w:rStyle w:val="ref"/>
                <w:rFonts w:ascii="Helvetica" w:hAnsi="Helvetica" w:cs="Helvetica"/>
                <w:color w:val="838383"/>
                <w:sz w:val="18"/>
                <w:szCs w:val="18"/>
              </w:rPr>
              <w:t>(ACMNA157)</w:t>
            </w:r>
          </w:p>
          <w:p w:rsidR="00841604" w:rsidRPr="00841604" w:rsidRDefault="00841604" w:rsidP="00841604">
            <w:pPr>
              <w:pStyle w:val="ListParagraph"/>
              <w:numPr>
                <w:ilvl w:val="0"/>
                <w:numId w:val="11"/>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convert fractions to decimals (terminating and recurring) and percentages</w:t>
            </w:r>
          </w:p>
          <w:p w:rsidR="00841604" w:rsidRPr="00841604" w:rsidRDefault="00841604" w:rsidP="00841604">
            <w:pPr>
              <w:pStyle w:val="ListParagraph"/>
              <w:numPr>
                <w:ilvl w:val="0"/>
                <w:numId w:val="11"/>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convert terminating decimals to fractions and percentages</w:t>
            </w:r>
          </w:p>
          <w:p w:rsidR="00841604" w:rsidRPr="00841604" w:rsidRDefault="00841604" w:rsidP="00841604">
            <w:pPr>
              <w:pStyle w:val="ListParagraph"/>
              <w:numPr>
                <w:ilvl w:val="0"/>
                <w:numId w:val="11"/>
              </w:numPr>
              <w:shd w:val="clear" w:color="auto" w:fill="FFFFFF"/>
              <w:spacing w:after="75" w:line="286" w:lineRule="atLeast"/>
              <w:rPr>
                <w:rFonts w:ascii="Helvetica" w:hAnsi="Helvetica" w:cs="Helvetica"/>
                <w:color w:val="000000"/>
                <w:sz w:val="20"/>
                <w:szCs w:val="20"/>
              </w:rPr>
            </w:pPr>
            <w:r w:rsidRPr="00841604">
              <w:rPr>
                <w:rFonts w:ascii="Helvetica" w:hAnsi="Helvetica" w:cs="Helvetica"/>
                <w:color w:val="000000"/>
                <w:sz w:val="20"/>
                <w:szCs w:val="20"/>
              </w:rPr>
              <w:t>convert percentages to fractions and decimals (terminating and recurring)</w:t>
            </w:r>
          </w:p>
          <w:p w:rsidR="00841604" w:rsidRPr="00AF420D" w:rsidRDefault="00841604" w:rsidP="00841604">
            <w:pPr>
              <w:spacing w:before="120" w:after="120"/>
              <w:rPr>
                <w:rFonts w:ascii="Arial" w:hAnsi="Arial" w:cs="Arial"/>
                <w:sz w:val="18"/>
                <w:szCs w:val="20"/>
              </w:rPr>
            </w:pPr>
          </w:p>
        </w:tc>
      </w:tr>
      <w:tr w:rsidR="006A77A1" w:rsidRPr="0047183A" w:rsidTr="00841604">
        <w:trPr>
          <w:trHeight w:val="42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6A77A1" w:rsidRPr="00E11BF3" w:rsidRDefault="00841604" w:rsidP="008B3B1D">
            <w:pPr>
              <w:spacing w:before="120" w:after="120"/>
              <w:rPr>
                <w:rFonts w:ascii="Arial" w:hAnsi="Arial" w:cs="Arial"/>
                <w:sz w:val="20"/>
                <w:szCs w:val="20"/>
              </w:rPr>
            </w:pPr>
            <w:r w:rsidRPr="00E11BF3">
              <w:rPr>
                <w:rFonts w:ascii="Arial" w:hAnsi="Arial" w:cs="Arial"/>
                <w:sz w:val="20"/>
                <w:szCs w:val="20"/>
              </w:rPr>
              <w:t>There are many everyday situations where things, amounts or quantities are 'fractions' or parts (or 'portions') of whole things, whole amounts or whole quantities. Fractions are very important when taking measurements, such as when buying goods (</w:t>
            </w:r>
            <w:proofErr w:type="spellStart"/>
            <w:r w:rsidRPr="00E11BF3">
              <w:rPr>
                <w:rFonts w:ascii="Arial" w:hAnsi="Arial" w:cs="Arial"/>
                <w:sz w:val="20"/>
                <w:szCs w:val="20"/>
              </w:rPr>
              <w:t>eg</w:t>
            </w:r>
            <w:proofErr w:type="spellEnd"/>
            <w:r w:rsidRPr="00E11BF3">
              <w:rPr>
                <w:rFonts w:ascii="Arial" w:hAnsi="Arial" w:cs="Arial"/>
                <w:sz w:val="20"/>
                <w:szCs w:val="20"/>
              </w:rPr>
              <w:t xml:space="preserve"> three-quarters of a metre of cloth) or following a recipe (</w:t>
            </w:r>
            <w:proofErr w:type="spellStart"/>
            <w:r w:rsidRPr="00E11BF3">
              <w:rPr>
                <w:rFonts w:ascii="Arial" w:hAnsi="Arial" w:cs="Arial"/>
                <w:sz w:val="20"/>
                <w:szCs w:val="20"/>
              </w:rPr>
              <w:t>eg</w:t>
            </w:r>
            <w:proofErr w:type="spellEnd"/>
            <w:r w:rsidRPr="00E11BF3">
              <w:rPr>
                <w:rFonts w:ascii="Arial" w:hAnsi="Arial" w:cs="Arial"/>
                <w:sz w:val="20"/>
                <w:szCs w:val="20"/>
              </w:rPr>
              <w:t xml:space="preserve"> a third of a cup of sugar), when telling the time (</w:t>
            </w:r>
            <w:proofErr w:type="spellStart"/>
            <w:r w:rsidRPr="00E11BF3">
              <w:rPr>
                <w:rFonts w:ascii="Arial" w:hAnsi="Arial" w:cs="Arial"/>
                <w:sz w:val="20"/>
                <w:szCs w:val="20"/>
              </w:rPr>
              <w:t>eg</w:t>
            </w:r>
            <w:proofErr w:type="spellEnd"/>
            <w:r w:rsidRPr="00E11BF3">
              <w:rPr>
                <w:rFonts w:ascii="Arial" w:hAnsi="Arial" w:cs="Arial"/>
                <w:sz w:val="20"/>
                <w:szCs w:val="20"/>
              </w:rPr>
              <w:t xml:space="preserve"> a quarter past five), when receiving discounts while shopping (</w:t>
            </w:r>
            <w:proofErr w:type="spellStart"/>
            <w:r w:rsidRPr="00E11BF3">
              <w:rPr>
                <w:rFonts w:ascii="Arial" w:hAnsi="Arial" w:cs="Arial"/>
                <w:sz w:val="20"/>
                <w:szCs w:val="20"/>
              </w:rPr>
              <w:t>eg</w:t>
            </w:r>
            <w:proofErr w:type="spellEnd"/>
            <w:r w:rsidRPr="00E11BF3">
              <w:rPr>
                <w:rFonts w:ascii="Arial" w:hAnsi="Arial" w:cs="Arial"/>
                <w:sz w:val="20"/>
                <w:szCs w:val="20"/>
              </w:rPr>
              <w:t xml:space="preserve"> 'half price', 'half off'), and when sharing a cake or pizza (</w:t>
            </w:r>
            <w:proofErr w:type="spellStart"/>
            <w:r w:rsidRPr="00E11BF3">
              <w:rPr>
                <w:rFonts w:ascii="Arial" w:hAnsi="Arial" w:cs="Arial"/>
                <w:sz w:val="20"/>
                <w:szCs w:val="20"/>
              </w:rPr>
              <w:t>eg</w:t>
            </w:r>
            <w:proofErr w:type="spellEnd"/>
            <w:r w:rsidRPr="00E11BF3">
              <w:rPr>
                <w:rFonts w:ascii="Arial" w:hAnsi="Arial" w:cs="Arial"/>
                <w:sz w:val="20"/>
                <w:szCs w:val="20"/>
              </w:rPr>
              <w:t xml:space="preserve"> 'There are five of us, so we'll get one-fifth of the pizza each'). 'Decimals' and 'percentages' represent different ways of expressing fractions (and whole numbers), and so are other ways of representing a part of a whole. Fractions (and decimals and percentages) are of fundamental importance in calculation, allowing us to calculate with parts of wholes and to express answers that are not whole numbers, </w:t>
            </w:r>
            <w:proofErr w:type="spellStart"/>
            <w:r w:rsidRPr="00E11BF3">
              <w:rPr>
                <w:rFonts w:ascii="Arial" w:hAnsi="Arial" w:cs="Arial"/>
                <w:sz w:val="20"/>
                <w:szCs w:val="20"/>
              </w:rPr>
              <w:t>eg</w:t>
            </w:r>
            <w:proofErr w:type="spellEnd"/>
            <w:r w:rsidRPr="00E11BF3">
              <w:rPr>
                <w:rFonts w:ascii="Arial" w:hAnsi="Arial" w:cs="Arial"/>
                <w:sz w:val="20"/>
                <w:szCs w:val="20"/>
              </w:rPr>
              <w:t xml:space="preserve"> 4÷5=4/5 (or 0.8 or 80%).</w:t>
            </w:r>
          </w:p>
        </w:tc>
      </w:tr>
      <w:tr w:rsidR="006A77A1" w:rsidRPr="0047183A" w:rsidTr="00841604">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2"/>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Pr="007A3AE0" w:rsidRDefault="00841604" w:rsidP="008B3B1D">
            <w:pPr>
              <w:spacing w:before="120" w:after="120"/>
              <w:rPr>
                <w:rFonts w:ascii="Arial" w:hAnsi="Arial" w:cs="Arial"/>
                <w:sz w:val="20"/>
                <w:szCs w:val="20"/>
              </w:rPr>
            </w:pPr>
            <w:r w:rsidRPr="006765E9">
              <w:rPr>
                <w:rFonts w:ascii="Arial" w:hAnsi="Arial" w:cs="Arial"/>
                <w:sz w:val="18"/>
                <w:szCs w:val="18"/>
              </w:rPr>
              <w:t>Literacy is addressed in this unit through the writing of mathematical definitions and the solving of word problems, however, literacy is not the main focus of this unit of work</w:t>
            </w:r>
            <w:r>
              <w:rPr>
                <w:rFonts w:ascii="Arial" w:hAnsi="Arial" w:cs="Arial"/>
                <w:sz w:val="18"/>
                <w:szCs w:val="18"/>
              </w:rPr>
              <w:t>.</w:t>
            </w:r>
          </w:p>
        </w:tc>
      </w:tr>
      <w:tr w:rsidR="006A77A1" w:rsidRPr="0047183A" w:rsidTr="00841604">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3"/>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2"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841604">
              <w:rPr>
                <w:rFonts w:ascii="Arial" w:hAnsi="Arial" w:cs="Arial"/>
                <w:sz w:val="16"/>
                <w:szCs w:val="20"/>
                <w:highlight w:val="yellow"/>
              </w:rPr>
              <w:t>Fraction Units</w:t>
            </w:r>
          </w:p>
        </w:tc>
        <w:tc>
          <w:tcPr>
            <w:tcW w:w="527"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Pr="006A5D06" w:rsidRDefault="00100C63" w:rsidP="008B3B1D">
            <w:pPr>
              <w:spacing w:before="120" w:after="120"/>
              <w:rPr>
                <w:rFonts w:ascii="Arial" w:hAnsi="Arial" w:cs="Arial"/>
                <w:sz w:val="20"/>
                <w:szCs w:val="20"/>
              </w:rPr>
            </w:pPr>
            <w:r>
              <w:rPr>
                <w:rFonts w:ascii="Arial" w:hAnsi="Arial" w:cs="Arial"/>
                <w:sz w:val="20"/>
                <w:szCs w:val="20"/>
              </w:rPr>
              <w:t>Aspect 6</w:t>
            </w:r>
          </w:p>
          <w:p w:rsidR="006A77A1" w:rsidRPr="006A5D06" w:rsidRDefault="00306616" w:rsidP="008B3B1D">
            <w:pPr>
              <w:spacing w:before="120" w:after="120"/>
              <w:rPr>
                <w:rFonts w:ascii="Arial" w:hAnsi="Arial" w:cs="Arial"/>
                <w:sz w:val="20"/>
                <w:szCs w:val="20"/>
              </w:rPr>
            </w:pPr>
            <w:r>
              <w:rPr>
                <w:rFonts w:ascii="Arial" w:hAnsi="Arial" w:cs="Arial"/>
                <w:sz w:val="20"/>
                <w:szCs w:val="20"/>
              </w:rPr>
              <w:t>All activities engaged students in tasks that were directly related to the numeracy continuum and their own level of understanding.</w:t>
            </w:r>
          </w:p>
          <w:p w:rsidR="006A77A1" w:rsidRPr="006A5D06" w:rsidRDefault="006A77A1" w:rsidP="008B3B1D">
            <w:pPr>
              <w:spacing w:before="120" w:after="120"/>
              <w:rPr>
                <w:rFonts w:ascii="Arial" w:hAnsi="Arial" w:cs="Arial"/>
                <w:sz w:val="20"/>
                <w:szCs w:val="20"/>
              </w:rPr>
            </w:pPr>
          </w:p>
        </w:tc>
      </w:tr>
      <w:tr w:rsidR="006A77A1" w:rsidRPr="0047183A" w:rsidTr="008B3B1D">
        <w:trPr>
          <w:trHeight w:val="100"/>
        </w:trPr>
        <w:tc>
          <w:tcPr>
            <w:tcW w:w="5000" w:type="pct"/>
            <w:gridSpan w:val="18"/>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841604">
        <w:trPr>
          <w:trHeight w:val="98"/>
        </w:trPr>
        <w:tc>
          <w:tcPr>
            <w:tcW w:w="1669" w:type="pct"/>
            <w:gridSpan w:val="4"/>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6"/>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841604">
        <w:trPr>
          <w:trHeight w:val="98"/>
        </w:trPr>
        <w:tc>
          <w:tcPr>
            <w:tcW w:w="1669" w:type="pct"/>
            <w:gridSpan w:val="4"/>
            <w:shd w:val="clear" w:color="auto" w:fill="auto"/>
            <w:vAlign w:val="center"/>
          </w:tcPr>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IQ1 Deep Knowledge</w:t>
            </w:r>
          </w:p>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IQ2 Deep Understanding</w:t>
            </w:r>
          </w:p>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IQ3 Problematic Knowledge</w:t>
            </w:r>
          </w:p>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IQ4 Higher-order Thinking</w:t>
            </w:r>
          </w:p>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6"/>
            <w:shd w:val="clear" w:color="auto" w:fill="auto"/>
            <w:vAlign w:val="center"/>
          </w:tcPr>
          <w:p w:rsidR="006A77A1" w:rsidRPr="00841604" w:rsidRDefault="006A77A1" w:rsidP="006A77A1">
            <w:pPr>
              <w:pStyle w:val="ListParagraph"/>
              <w:numPr>
                <w:ilvl w:val="0"/>
                <w:numId w:val="1"/>
              </w:numPr>
              <w:ind w:left="357"/>
              <w:rPr>
                <w:rFonts w:ascii="Arial" w:hAnsi="Arial" w:cs="Arial"/>
                <w:sz w:val="20"/>
                <w:szCs w:val="20"/>
                <w:highlight w:val="yellow"/>
              </w:rPr>
            </w:pPr>
            <w:r w:rsidRPr="00841604">
              <w:rPr>
                <w:rFonts w:ascii="Arial" w:hAnsi="Arial" w:cs="Arial"/>
                <w:sz w:val="20"/>
                <w:szCs w:val="20"/>
                <w:highlight w:val="yellow"/>
              </w:rPr>
              <w:t>QLE1 Explicit Quality Criteria</w:t>
            </w:r>
          </w:p>
          <w:p w:rsidR="006A77A1" w:rsidRPr="00841604" w:rsidRDefault="006A77A1" w:rsidP="006A77A1">
            <w:pPr>
              <w:pStyle w:val="ListParagraph"/>
              <w:numPr>
                <w:ilvl w:val="0"/>
                <w:numId w:val="1"/>
              </w:numPr>
              <w:spacing w:before="120" w:after="120"/>
              <w:rPr>
                <w:rFonts w:ascii="Arial" w:hAnsi="Arial" w:cs="Arial"/>
                <w:sz w:val="20"/>
                <w:szCs w:val="20"/>
                <w:highlight w:val="yellow"/>
              </w:rPr>
            </w:pPr>
            <w:r w:rsidRPr="00841604">
              <w:rPr>
                <w:rFonts w:ascii="Arial" w:hAnsi="Arial" w:cs="Arial"/>
                <w:sz w:val="20"/>
                <w:szCs w:val="20"/>
                <w:highlight w:val="yellow"/>
              </w:rPr>
              <w:t>QE2 Engagement</w:t>
            </w:r>
          </w:p>
          <w:p w:rsidR="006A77A1" w:rsidRPr="00841604" w:rsidRDefault="006A77A1" w:rsidP="006A77A1">
            <w:pPr>
              <w:pStyle w:val="ListParagraph"/>
              <w:numPr>
                <w:ilvl w:val="0"/>
                <w:numId w:val="1"/>
              </w:numPr>
              <w:spacing w:before="120" w:after="120"/>
              <w:rPr>
                <w:rFonts w:ascii="Arial" w:hAnsi="Arial" w:cs="Arial"/>
                <w:sz w:val="20"/>
                <w:szCs w:val="20"/>
                <w:highlight w:val="yellow"/>
              </w:rPr>
            </w:pPr>
            <w:r w:rsidRPr="00841604">
              <w:rPr>
                <w:rFonts w:ascii="Arial" w:hAnsi="Arial" w:cs="Arial"/>
                <w:sz w:val="20"/>
                <w:szCs w:val="20"/>
                <w:highlight w:val="yellow"/>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841604" w:rsidRDefault="006A77A1" w:rsidP="006A77A1">
            <w:pPr>
              <w:pStyle w:val="ListParagraph"/>
              <w:numPr>
                <w:ilvl w:val="0"/>
                <w:numId w:val="1"/>
              </w:numPr>
              <w:spacing w:before="120" w:after="120"/>
              <w:rPr>
                <w:rFonts w:ascii="Arial" w:hAnsi="Arial" w:cs="Arial"/>
                <w:sz w:val="20"/>
                <w:szCs w:val="20"/>
                <w:highlight w:val="yellow"/>
              </w:rPr>
            </w:pPr>
            <w:r w:rsidRPr="00841604">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4" w:type="pct"/>
            <w:gridSpan w:val="8"/>
            <w:shd w:val="clear" w:color="auto" w:fill="auto"/>
            <w:vAlign w:val="center"/>
          </w:tcPr>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841604" w:rsidRDefault="006A77A1" w:rsidP="006A77A1">
            <w:pPr>
              <w:pStyle w:val="ListParagraph"/>
              <w:numPr>
                <w:ilvl w:val="0"/>
                <w:numId w:val="1"/>
              </w:numPr>
              <w:spacing w:before="120" w:after="120"/>
              <w:ind w:left="720"/>
              <w:rPr>
                <w:rFonts w:ascii="Arial" w:hAnsi="Arial" w:cs="Arial"/>
                <w:sz w:val="20"/>
                <w:szCs w:val="20"/>
                <w:highlight w:val="yellow"/>
              </w:rPr>
            </w:pPr>
            <w:r w:rsidRPr="00841604">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r w:rsidR="006A77A1" w:rsidRPr="0047183A" w:rsidTr="008B3B1D">
        <w:trPr>
          <w:trHeight w:val="349"/>
        </w:trPr>
        <w:tc>
          <w:tcPr>
            <w:tcW w:w="5000" w:type="pct"/>
            <w:gridSpan w:val="18"/>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505450">
        <w:trPr>
          <w:trHeight w:val="557"/>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E15440D" wp14:editId="60E05A0C">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67BF165" wp14:editId="7BE878E5">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072D4CA" wp14:editId="705A1CED">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0F6BF6"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E8A6FB7" wp14:editId="0FEC8D8F">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505450">
            <w:pPr>
              <w:shd w:val="clear" w:color="auto" w:fill="DBE5F1" w:themeFill="accent1" w:themeFillTint="33"/>
              <w:autoSpaceDE w:val="0"/>
              <w:autoSpaceDN w:val="0"/>
              <w:adjustRightInd w:val="0"/>
              <w:spacing w:before="120"/>
              <w:rPr>
                <w:rFonts w:ascii="Arial" w:hAnsi="Arial" w:cs="Arial"/>
                <w:sz w:val="20"/>
                <w:szCs w:val="20"/>
              </w:rPr>
            </w:pPr>
          </w:p>
        </w:tc>
        <w:tc>
          <w:tcPr>
            <w:tcW w:w="3236" w:type="pct"/>
            <w:gridSpan w:val="15"/>
            <w:shd w:val="clear" w:color="auto" w:fill="auto"/>
          </w:tcPr>
          <w:p w:rsidR="00505450" w:rsidRDefault="00505450" w:rsidP="00505450">
            <w:pPr>
              <w:kinsoku w:val="0"/>
              <w:overflowPunct w:val="0"/>
              <w:autoSpaceDE w:val="0"/>
              <w:autoSpaceDN w:val="0"/>
              <w:adjustRightInd w:val="0"/>
              <w:spacing w:before="43"/>
              <w:ind w:left="40"/>
              <w:outlineLvl w:val="0"/>
              <w:rPr>
                <w:rFonts w:ascii="Arial" w:eastAsiaTheme="minorHAnsi" w:hAnsi="Arial" w:cs="Arial"/>
                <w:color w:val="231F20"/>
                <w:spacing w:val="-2"/>
                <w:sz w:val="18"/>
                <w:szCs w:val="18"/>
                <w:lang w:eastAsia="en-US"/>
              </w:rPr>
            </w:pPr>
            <w:r>
              <w:rPr>
                <w:rFonts w:ascii="Arial" w:eastAsiaTheme="minorHAnsi" w:hAnsi="Arial" w:cs="Arial"/>
                <w:color w:val="231F20"/>
                <w:spacing w:val="-2"/>
                <w:sz w:val="18"/>
                <w:szCs w:val="18"/>
                <w:lang w:eastAsia="en-US"/>
              </w:rPr>
              <w:t>Students are to complete each activity in their workbook then engage within the online Mathletics activities.</w:t>
            </w:r>
          </w:p>
          <w:p w:rsidR="00505450" w:rsidRDefault="00505450" w:rsidP="00505450">
            <w:pPr>
              <w:kinsoku w:val="0"/>
              <w:overflowPunct w:val="0"/>
              <w:autoSpaceDE w:val="0"/>
              <w:autoSpaceDN w:val="0"/>
              <w:adjustRightInd w:val="0"/>
              <w:spacing w:before="43"/>
              <w:ind w:left="40"/>
              <w:outlineLvl w:val="0"/>
              <w:rPr>
                <w:rFonts w:ascii="Arial" w:eastAsiaTheme="minorHAnsi" w:hAnsi="Arial" w:cs="Arial"/>
                <w:color w:val="231F20"/>
                <w:spacing w:val="-2"/>
                <w:sz w:val="18"/>
                <w:szCs w:val="18"/>
                <w:lang w:eastAsia="en-US"/>
              </w:rPr>
            </w:pPr>
          </w:p>
          <w:p w:rsidR="00505450" w:rsidRDefault="00505450" w:rsidP="00505450">
            <w:pPr>
              <w:kinsoku w:val="0"/>
              <w:overflowPunct w:val="0"/>
              <w:autoSpaceDE w:val="0"/>
              <w:autoSpaceDN w:val="0"/>
              <w:adjustRightInd w:val="0"/>
              <w:spacing w:before="43"/>
              <w:ind w:left="40"/>
              <w:outlineLvl w:val="0"/>
              <w:rPr>
                <w:rFonts w:ascii="Arial" w:eastAsiaTheme="minorHAnsi" w:hAnsi="Arial" w:cs="Arial"/>
                <w:color w:val="231F20"/>
                <w:spacing w:val="-2"/>
                <w:sz w:val="18"/>
                <w:szCs w:val="18"/>
                <w:lang w:eastAsia="en-US"/>
              </w:rPr>
            </w:pPr>
            <w:r>
              <w:rPr>
                <w:rFonts w:ascii="Arial" w:eastAsiaTheme="minorHAnsi" w:hAnsi="Arial" w:cs="Arial"/>
                <w:color w:val="231F20"/>
                <w:spacing w:val="-2"/>
                <w:sz w:val="18"/>
                <w:szCs w:val="18"/>
                <w:lang w:eastAsia="en-US"/>
              </w:rPr>
              <w:t xml:space="preserve"> </w:t>
            </w:r>
          </w:p>
          <w:p w:rsidR="00505450" w:rsidRPr="00505450" w:rsidRDefault="00505450" w:rsidP="00505450">
            <w:pPr>
              <w:kinsoku w:val="0"/>
              <w:overflowPunct w:val="0"/>
              <w:autoSpaceDE w:val="0"/>
              <w:autoSpaceDN w:val="0"/>
              <w:adjustRightInd w:val="0"/>
              <w:spacing w:before="43"/>
              <w:ind w:left="40"/>
              <w:outlineLvl w:val="0"/>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F</w:t>
            </w:r>
            <w:r w:rsidRPr="00505450">
              <w:rPr>
                <w:rFonts w:ascii="Arial" w:eastAsiaTheme="minorHAnsi" w:hAnsi="Arial" w:cs="Arial"/>
                <w:color w:val="231F20"/>
                <w:spacing w:val="-6"/>
                <w:sz w:val="18"/>
                <w:szCs w:val="18"/>
                <w:lang w:eastAsia="en-US"/>
              </w:rPr>
              <w:t>r</w:t>
            </w:r>
            <w:r w:rsidRPr="00505450">
              <w:rPr>
                <w:rFonts w:ascii="Arial" w:eastAsiaTheme="minorHAnsi" w:hAnsi="Arial" w:cs="Arial"/>
                <w:color w:val="231F20"/>
                <w:sz w:val="18"/>
                <w:szCs w:val="18"/>
                <w:lang w:eastAsia="en-US"/>
              </w:rPr>
              <w:t>actions</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(Mathletics pp.</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1–8)</w:t>
            </w:r>
          </w:p>
          <w:p w:rsidR="00505450" w:rsidRPr="00505450" w:rsidRDefault="00505450" w:rsidP="00505450">
            <w:pPr>
              <w:numPr>
                <w:ilvl w:val="0"/>
                <w:numId w:val="17"/>
              </w:numPr>
              <w:tabs>
                <w:tab w:val="left" w:pos="2149"/>
              </w:tabs>
              <w:kinsoku w:val="0"/>
              <w:overflowPunct w:val="0"/>
              <w:autoSpaceDE w:val="0"/>
              <w:autoSpaceDN w:val="0"/>
              <w:adjustRightInd w:val="0"/>
              <w:spacing w:before="148"/>
              <w:rPr>
                <w:rFonts w:ascii="Arial" w:eastAsiaTheme="minorHAnsi" w:hAnsi="Arial" w:cs="Arial"/>
                <w:color w:val="000000"/>
                <w:sz w:val="18"/>
                <w:szCs w:val="18"/>
                <w:lang w:eastAsia="en-US"/>
              </w:rPr>
            </w:pPr>
            <w:r w:rsidRPr="00505450">
              <w:rPr>
                <w:rFonts w:ascii="Arial" w:eastAsiaTheme="minorHAnsi" w:hAnsi="Arial" w:cs="Arial"/>
                <w:color w:val="231F20"/>
                <w:spacing w:val="-1"/>
                <w:sz w:val="18"/>
                <w:szCs w:val="18"/>
                <w:lang w:eastAsia="en-US"/>
              </w:rPr>
              <w:t>fractions</w:t>
            </w:r>
            <w:r w:rsidRPr="00505450">
              <w:rPr>
                <w:rFonts w:ascii="Arial" w:eastAsiaTheme="minorHAnsi" w:hAnsi="Arial" w:cs="Arial"/>
                <w:color w:val="231F20"/>
                <w:spacing w:val="-4"/>
                <w:sz w:val="18"/>
                <w:szCs w:val="18"/>
                <w:lang w:eastAsia="en-US"/>
              </w:rPr>
              <w:t xml:space="preserve"> </w:t>
            </w:r>
            <w:r w:rsidRPr="00505450">
              <w:rPr>
                <w:rFonts w:ascii="Arial" w:eastAsiaTheme="minorHAnsi" w:hAnsi="Arial" w:cs="Arial"/>
                <w:color w:val="231F20"/>
                <w:sz w:val="18"/>
                <w:szCs w:val="18"/>
                <w:lang w:eastAsia="en-US"/>
              </w:rPr>
              <w:t>of</w:t>
            </w:r>
            <w:r w:rsidRPr="00505450">
              <w:rPr>
                <w:rFonts w:ascii="Arial" w:eastAsiaTheme="minorHAnsi" w:hAnsi="Arial" w:cs="Arial"/>
                <w:color w:val="231F20"/>
                <w:spacing w:val="-3"/>
                <w:sz w:val="18"/>
                <w:szCs w:val="18"/>
                <w:lang w:eastAsia="en-US"/>
              </w:rPr>
              <w:t xml:space="preserve"> </w:t>
            </w:r>
            <w:r w:rsidRPr="00505450">
              <w:rPr>
                <w:rFonts w:ascii="Arial" w:eastAsiaTheme="minorHAnsi" w:hAnsi="Arial" w:cs="Arial"/>
                <w:color w:val="231F20"/>
                <w:sz w:val="18"/>
                <w:szCs w:val="18"/>
                <w:lang w:eastAsia="en-US"/>
              </w:rPr>
              <w:t>shapes</w:t>
            </w:r>
          </w:p>
          <w:p w:rsidR="00505450" w:rsidRPr="00505450" w:rsidRDefault="00505450" w:rsidP="00505450">
            <w:pPr>
              <w:numPr>
                <w:ilvl w:val="0"/>
                <w:numId w:val="17"/>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pacing w:val="-1"/>
                <w:sz w:val="18"/>
                <w:szCs w:val="18"/>
                <w:lang w:eastAsia="en-US"/>
              </w:rPr>
              <w:t>fractions</w:t>
            </w:r>
            <w:r w:rsidRPr="00505450">
              <w:rPr>
                <w:rFonts w:ascii="Arial" w:eastAsiaTheme="minorHAnsi" w:hAnsi="Arial" w:cs="Arial"/>
                <w:color w:val="231F20"/>
                <w:spacing w:val="-5"/>
                <w:sz w:val="18"/>
                <w:szCs w:val="18"/>
                <w:lang w:eastAsia="en-US"/>
              </w:rPr>
              <w:t xml:space="preserve"> </w:t>
            </w:r>
            <w:r w:rsidRPr="00505450">
              <w:rPr>
                <w:rFonts w:ascii="Arial" w:eastAsiaTheme="minorHAnsi" w:hAnsi="Arial" w:cs="Arial"/>
                <w:color w:val="231F20"/>
                <w:sz w:val="18"/>
                <w:szCs w:val="18"/>
                <w:lang w:eastAsia="en-US"/>
              </w:rPr>
              <w:t>of</w:t>
            </w:r>
            <w:r w:rsidRPr="00505450">
              <w:rPr>
                <w:rFonts w:ascii="Arial" w:eastAsiaTheme="minorHAnsi" w:hAnsi="Arial" w:cs="Arial"/>
                <w:color w:val="231F20"/>
                <w:spacing w:val="-5"/>
                <w:sz w:val="18"/>
                <w:szCs w:val="18"/>
                <w:lang w:eastAsia="en-US"/>
              </w:rPr>
              <w:t xml:space="preserve"> </w:t>
            </w:r>
            <w:r w:rsidRPr="00505450">
              <w:rPr>
                <w:rFonts w:ascii="Arial" w:eastAsiaTheme="minorHAnsi" w:hAnsi="Arial" w:cs="Arial"/>
                <w:color w:val="231F20"/>
                <w:sz w:val="18"/>
                <w:szCs w:val="18"/>
                <w:lang w:eastAsia="en-US"/>
              </w:rPr>
              <w:t>a</w:t>
            </w:r>
            <w:r w:rsidRPr="00505450">
              <w:rPr>
                <w:rFonts w:ascii="Arial" w:eastAsiaTheme="minorHAnsi" w:hAnsi="Arial" w:cs="Arial"/>
                <w:color w:val="231F20"/>
                <w:spacing w:val="-5"/>
                <w:sz w:val="18"/>
                <w:szCs w:val="18"/>
                <w:lang w:eastAsia="en-US"/>
              </w:rPr>
              <w:t xml:space="preserve"> </w:t>
            </w:r>
            <w:r w:rsidRPr="00505450">
              <w:rPr>
                <w:rFonts w:ascii="Arial" w:eastAsiaTheme="minorHAnsi" w:hAnsi="Arial" w:cs="Arial"/>
                <w:color w:val="231F20"/>
                <w:spacing w:val="-1"/>
                <w:sz w:val="18"/>
                <w:szCs w:val="18"/>
                <w:lang w:eastAsia="en-US"/>
              </w:rPr>
              <w:t>collection</w:t>
            </w:r>
          </w:p>
          <w:p w:rsidR="00505450" w:rsidRPr="00505450" w:rsidRDefault="00505450" w:rsidP="00505450">
            <w:pPr>
              <w:numPr>
                <w:ilvl w:val="0"/>
                <w:numId w:val="17"/>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pacing w:val="-1"/>
                <w:sz w:val="18"/>
                <w:szCs w:val="18"/>
                <w:lang w:eastAsia="en-US"/>
              </w:rPr>
              <w:t>comparing</w:t>
            </w:r>
            <w:r w:rsidRPr="00505450">
              <w:rPr>
                <w:rFonts w:ascii="Arial" w:eastAsiaTheme="minorHAnsi" w:hAnsi="Arial" w:cs="Arial"/>
                <w:color w:val="231F20"/>
                <w:spacing w:val="-3"/>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pacing w:val="-1"/>
                <w:sz w:val="18"/>
                <w:szCs w:val="18"/>
                <w:lang w:eastAsia="en-US"/>
              </w:rPr>
              <w:t>ordering</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pacing w:val="-1"/>
                <w:sz w:val="18"/>
                <w:szCs w:val="18"/>
                <w:lang w:eastAsia="en-US"/>
              </w:rPr>
              <w:t>fractions</w:t>
            </w:r>
          </w:p>
          <w:p w:rsidR="00505450" w:rsidRPr="00505450" w:rsidRDefault="00505450" w:rsidP="00505450">
            <w:pPr>
              <w:kinsoku w:val="0"/>
              <w:overflowPunct w:val="0"/>
              <w:autoSpaceDE w:val="0"/>
              <w:autoSpaceDN w:val="0"/>
              <w:adjustRightInd w:val="0"/>
              <w:rPr>
                <w:rFonts w:ascii="Arial" w:eastAsiaTheme="minorHAnsi" w:hAnsi="Arial" w:cs="Arial"/>
                <w:i/>
                <w:iCs/>
                <w:sz w:val="18"/>
                <w:szCs w:val="18"/>
                <w:lang w:eastAsia="en-US"/>
              </w:rPr>
            </w:pPr>
          </w:p>
          <w:p w:rsidR="00505450" w:rsidRPr="00505450" w:rsidRDefault="00505450" w:rsidP="00505450">
            <w:pPr>
              <w:kinsoku w:val="0"/>
              <w:overflowPunct w:val="0"/>
              <w:autoSpaceDE w:val="0"/>
              <w:autoSpaceDN w:val="0"/>
              <w:adjustRightInd w:val="0"/>
              <w:spacing w:before="168"/>
              <w:ind w:left="40"/>
              <w:outlineLvl w:val="0"/>
              <w:rPr>
                <w:rFonts w:ascii="Arial" w:eastAsiaTheme="minorHAnsi" w:hAnsi="Arial" w:cs="Arial"/>
                <w:color w:val="000000"/>
                <w:sz w:val="18"/>
                <w:szCs w:val="18"/>
                <w:lang w:eastAsia="en-US"/>
              </w:rPr>
            </w:pPr>
            <w:r w:rsidRPr="00505450">
              <w:rPr>
                <w:rFonts w:ascii="Arial" w:eastAsiaTheme="minorHAnsi" w:hAnsi="Arial" w:cs="Arial"/>
                <w:color w:val="231F20"/>
                <w:spacing w:val="-13"/>
                <w:sz w:val="18"/>
                <w:szCs w:val="18"/>
                <w:lang w:eastAsia="en-US"/>
              </w:rPr>
              <w:t>T</w:t>
            </w:r>
            <w:r w:rsidRPr="00505450">
              <w:rPr>
                <w:rFonts w:ascii="Arial" w:eastAsiaTheme="minorHAnsi" w:hAnsi="Arial" w:cs="Arial"/>
                <w:color w:val="231F20"/>
                <w:sz w:val="18"/>
                <w:szCs w:val="18"/>
                <w:lang w:eastAsia="en-US"/>
              </w:rPr>
              <w:t>ypes</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of</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f</w:t>
            </w:r>
            <w:r w:rsidRPr="00505450">
              <w:rPr>
                <w:rFonts w:ascii="Arial" w:eastAsiaTheme="minorHAnsi" w:hAnsi="Arial" w:cs="Arial"/>
                <w:color w:val="231F20"/>
                <w:spacing w:val="-6"/>
                <w:sz w:val="18"/>
                <w:szCs w:val="18"/>
                <w:lang w:eastAsia="en-US"/>
              </w:rPr>
              <w:t>r</w:t>
            </w:r>
            <w:r w:rsidRPr="00505450">
              <w:rPr>
                <w:rFonts w:ascii="Arial" w:eastAsiaTheme="minorHAnsi" w:hAnsi="Arial" w:cs="Arial"/>
                <w:color w:val="231F20"/>
                <w:sz w:val="18"/>
                <w:szCs w:val="18"/>
                <w:lang w:eastAsia="en-US"/>
              </w:rPr>
              <w:t>actions</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(Mathletics pp.</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9–16)</w:t>
            </w:r>
          </w:p>
          <w:p w:rsidR="00505450" w:rsidRPr="00505450" w:rsidRDefault="00505450" w:rsidP="00505450">
            <w:pPr>
              <w:numPr>
                <w:ilvl w:val="0"/>
                <w:numId w:val="16"/>
              </w:numPr>
              <w:tabs>
                <w:tab w:val="left" w:pos="2149"/>
              </w:tabs>
              <w:kinsoku w:val="0"/>
              <w:overflowPunct w:val="0"/>
              <w:autoSpaceDE w:val="0"/>
              <w:autoSpaceDN w:val="0"/>
              <w:adjustRightInd w:val="0"/>
              <w:spacing w:before="148"/>
              <w:rPr>
                <w:rFonts w:ascii="Arial" w:eastAsiaTheme="minorHAnsi" w:hAnsi="Arial" w:cs="Arial"/>
                <w:color w:val="000000"/>
                <w:sz w:val="18"/>
                <w:szCs w:val="18"/>
                <w:lang w:eastAsia="en-US"/>
              </w:rPr>
            </w:pPr>
            <w:r w:rsidRPr="00505450">
              <w:rPr>
                <w:rFonts w:ascii="Arial" w:eastAsiaTheme="minorHAnsi" w:hAnsi="Arial" w:cs="Arial"/>
                <w:color w:val="231F20"/>
                <w:spacing w:val="-1"/>
                <w:sz w:val="18"/>
                <w:szCs w:val="18"/>
                <w:lang w:eastAsia="en-US"/>
              </w:rPr>
              <w:t>equivalent</w:t>
            </w:r>
            <w:r w:rsidRPr="00505450">
              <w:rPr>
                <w:rFonts w:ascii="Arial" w:eastAsiaTheme="minorHAnsi" w:hAnsi="Arial" w:cs="Arial"/>
                <w:color w:val="231F20"/>
                <w:spacing w:val="-7"/>
                <w:sz w:val="18"/>
                <w:szCs w:val="18"/>
                <w:lang w:eastAsia="en-US"/>
              </w:rPr>
              <w:t xml:space="preserve"> </w:t>
            </w:r>
            <w:r w:rsidRPr="00505450">
              <w:rPr>
                <w:rFonts w:ascii="Arial" w:eastAsiaTheme="minorHAnsi" w:hAnsi="Arial" w:cs="Arial"/>
                <w:color w:val="231F20"/>
                <w:spacing w:val="-1"/>
                <w:sz w:val="18"/>
                <w:szCs w:val="18"/>
                <w:lang w:eastAsia="en-US"/>
              </w:rPr>
              <w:t>fractions</w:t>
            </w:r>
          </w:p>
          <w:p w:rsidR="00505450" w:rsidRPr="00505450" w:rsidRDefault="00505450" w:rsidP="00505450">
            <w:pPr>
              <w:numPr>
                <w:ilvl w:val="0"/>
                <w:numId w:val="16"/>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pacing w:val="-2"/>
                <w:sz w:val="18"/>
                <w:szCs w:val="18"/>
                <w:lang w:eastAsia="en-US"/>
              </w:rPr>
              <w:t xml:space="preserve">mixed </w:t>
            </w:r>
            <w:r w:rsidRPr="00505450">
              <w:rPr>
                <w:rFonts w:ascii="Arial" w:eastAsiaTheme="minorHAnsi" w:hAnsi="Arial" w:cs="Arial"/>
                <w:color w:val="231F20"/>
                <w:spacing w:val="-1"/>
                <w:sz w:val="18"/>
                <w:szCs w:val="18"/>
                <w:lang w:eastAsia="en-US"/>
              </w:rPr>
              <w:t>numerals</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1"/>
                <w:sz w:val="18"/>
                <w:szCs w:val="18"/>
                <w:lang w:eastAsia="en-US"/>
              </w:rPr>
              <w:t xml:space="preserve"> improper</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pacing w:val="-1"/>
                <w:sz w:val="18"/>
                <w:szCs w:val="18"/>
                <w:lang w:eastAsia="en-US"/>
              </w:rPr>
              <w:t>fractions</w:t>
            </w:r>
          </w:p>
          <w:p w:rsidR="00505450" w:rsidRPr="00505450" w:rsidRDefault="00505450" w:rsidP="00505450">
            <w:pPr>
              <w:kinsoku w:val="0"/>
              <w:overflowPunct w:val="0"/>
              <w:autoSpaceDE w:val="0"/>
              <w:autoSpaceDN w:val="0"/>
              <w:adjustRightInd w:val="0"/>
              <w:rPr>
                <w:rFonts w:ascii="Arial" w:eastAsiaTheme="minorHAnsi" w:hAnsi="Arial" w:cs="Arial"/>
                <w:i/>
                <w:iCs/>
                <w:sz w:val="18"/>
                <w:szCs w:val="18"/>
                <w:lang w:eastAsia="en-US"/>
              </w:rPr>
            </w:pPr>
          </w:p>
          <w:p w:rsidR="00505450" w:rsidRPr="00505450" w:rsidRDefault="00505450" w:rsidP="00505450">
            <w:pPr>
              <w:kinsoku w:val="0"/>
              <w:overflowPunct w:val="0"/>
              <w:autoSpaceDE w:val="0"/>
              <w:autoSpaceDN w:val="0"/>
              <w:adjustRightInd w:val="0"/>
              <w:spacing w:before="11"/>
              <w:ind w:left="40"/>
              <w:outlineLvl w:val="0"/>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F</w:t>
            </w:r>
            <w:r w:rsidRPr="00505450">
              <w:rPr>
                <w:rFonts w:ascii="Arial" w:eastAsiaTheme="minorHAnsi" w:hAnsi="Arial" w:cs="Arial"/>
                <w:color w:val="231F20"/>
                <w:spacing w:val="-6"/>
                <w:sz w:val="18"/>
                <w:szCs w:val="18"/>
                <w:lang w:eastAsia="en-US"/>
              </w:rPr>
              <w:t>r</w:t>
            </w:r>
            <w:r w:rsidRPr="00505450">
              <w:rPr>
                <w:rFonts w:ascii="Arial" w:eastAsiaTheme="minorHAnsi" w:hAnsi="Arial" w:cs="Arial"/>
                <w:color w:val="231F20"/>
                <w:sz w:val="18"/>
                <w:szCs w:val="18"/>
                <w:lang w:eastAsia="en-US"/>
              </w:rPr>
              <w:t>actions,</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decimals</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pe</w:t>
            </w:r>
            <w:r w:rsidRPr="00505450">
              <w:rPr>
                <w:rFonts w:ascii="Arial" w:eastAsiaTheme="minorHAnsi" w:hAnsi="Arial" w:cs="Arial"/>
                <w:color w:val="231F20"/>
                <w:spacing w:val="-4"/>
                <w:sz w:val="18"/>
                <w:szCs w:val="18"/>
                <w:lang w:eastAsia="en-US"/>
              </w:rPr>
              <w:t>r</w:t>
            </w:r>
            <w:r w:rsidRPr="00505450">
              <w:rPr>
                <w:rFonts w:ascii="Arial" w:eastAsiaTheme="minorHAnsi" w:hAnsi="Arial" w:cs="Arial"/>
                <w:color w:val="231F20"/>
                <w:sz w:val="18"/>
                <w:szCs w:val="18"/>
                <w:lang w:eastAsia="en-US"/>
              </w:rPr>
              <w:t>ce</w:t>
            </w:r>
            <w:r w:rsidRPr="00505450">
              <w:rPr>
                <w:rFonts w:ascii="Arial" w:eastAsiaTheme="minorHAnsi" w:hAnsi="Arial" w:cs="Arial"/>
                <w:color w:val="231F20"/>
                <w:spacing w:val="-3"/>
                <w:sz w:val="18"/>
                <w:szCs w:val="18"/>
                <w:lang w:eastAsia="en-US"/>
              </w:rPr>
              <w:t>n</w:t>
            </w:r>
            <w:r w:rsidRPr="00505450">
              <w:rPr>
                <w:rFonts w:ascii="Arial" w:eastAsiaTheme="minorHAnsi" w:hAnsi="Arial" w:cs="Arial"/>
                <w:color w:val="231F20"/>
                <w:spacing w:val="-4"/>
                <w:sz w:val="18"/>
                <w:szCs w:val="18"/>
                <w:lang w:eastAsia="en-US"/>
              </w:rPr>
              <w:t>t</w:t>
            </w:r>
            <w:r w:rsidRPr="00505450">
              <w:rPr>
                <w:rFonts w:ascii="Arial" w:eastAsiaTheme="minorHAnsi" w:hAnsi="Arial" w:cs="Arial"/>
                <w:color w:val="231F20"/>
                <w:sz w:val="18"/>
                <w:szCs w:val="18"/>
                <w:lang w:eastAsia="en-US"/>
              </w:rPr>
              <w:t>a</w:t>
            </w:r>
            <w:r w:rsidRPr="00505450">
              <w:rPr>
                <w:rFonts w:ascii="Arial" w:eastAsiaTheme="minorHAnsi" w:hAnsi="Arial" w:cs="Arial"/>
                <w:color w:val="231F20"/>
                <w:spacing w:val="-3"/>
                <w:sz w:val="18"/>
                <w:szCs w:val="18"/>
                <w:lang w:eastAsia="en-US"/>
              </w:rPr>
              <w:t>g</w:t>
            </w:r>
            <w:r w:rsidRPr="00505450">
              <w:rPr>
                <w:rFonts w:ascii="Arial" w:eastAsiaTheme="minorHAnsi" w:hAnsi="Arial" w:cs="Arial"/>
                <w:color w:val="231F20"/>
                <w:sz w:val="18"/>
                <w:szCs w:val="18"/>
                <w:lang w:eastAsia="en-US"/>
              </w:rPr>
              <w:t>es</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(Mathletics pp.</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17–25)</w:t>
            </w:r>
          </w:p>
          <w:p w:rsidR="00505450" w:rsidRPr="00505450" w:rsidRDefault="00505450" w:rsidP="00505450">
            <w:pPr>
              <w:numPr>
                <w:ilvl w:val="0"/>
                <w:numId w:val="15"/>
              </w:numPr>
              <w:tabs>
                <w:tab w:val="left" w:pos="2149"/>
              </w:tabs>
              <w:kinsoku w:val="0"/>
              <w:overflowPunct w:val="0"/>
              <w:autoSpaceDE w:val="0"/>
              <w:autoSpaceDN w:val="0"/>
              <w:adjustRightInd w:val="0"/>
              <w:spacing w:before="148"/>
              <w:rPr>
                <w:rFonts w:ascii="Arial" w:eastAsiaTheme="minorHAnsi" w:hAnsi="Arial" w:cs="Arial"/>
                <w:color w:val="000000"/>
                <w:sz w:val="18"/>
                <w:szCs w:val="18"/>
                <w:lang w:eastAsia="en-US"/>
              </w:rPr>
            </w:pPr>
            <w:r w:rsidRPr="00505450">
              <w:rPr>
                <w:rFonts w:ascii="Arial" w:eastAsiaTheme="minorHAnsi" w:hAnsi="Arial" w:cs="Arial"/>
                <w:color w:val="231F20"/>
                <w:spacing w:val="-1"/>
                <w:sz w:val="18"/>
                <w:szCs w:val="18"/>
                <w:lang w:eastAsia="en-US"/>
              </w:rPr>
              <w:t>tenths</w:t>
            </w:r>
          </w:p>
          <w:p w:rsidR="00505450" w:rsidRPr="00505450" w:rsidRDefault="00505450" w:rsidP="00505450">
            <w:pPr>
              <w:numPr>
                <w:ilvl w:val="0"/>
                <w:numId w:val="15"/>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pacing w:val="-1"/>
                <w:sz w:val="18"/>
                <w:szCs w:val="18"/>
                <w:lang w:eastAsia="en-US"/>
              </w:rPr>
              <w:t>tenths</w:t>
            </w:r>
            <w:r w:rsidRPr="00505450">
              <w:rPr>
                <w:rFonts w:ascii="Arial" w:eastAsiaTheme="minorHAnsi" w:hAnsi="Arial" w:cs="Arial"/>
                <w:color w:val="231F20"/>
                <w:sz w:val="18"/>
                <w:szCs w:val="18"/>
                <w:lang w:eastAsia="en-US"/>
              </w:rPr>
              <w:t xml:space="preserve"> and </w:t>
            </w:r>
            <w:r w:rsidRPr="00505450">
              <w:rPr>
                <w:rFonts w:ascii="Arial" w:eastAsiaTheme="minorHAnsi" w:hAnsi="Arial" w:cs="Arial"/>
                <w:color w:val="231F20"/>
                <w:spacing w:val="-1"/>
                <w:sz w:val="18"/>
                <w:szCs w:val="18"/>
                <w:lang w:eastAsia="en-US"/>
              </w:rPr>
              <w:t>hundredths</w:t>
            </w:r>
          </w:p>
          <w:p w:rsidR="00505450" w:rsidRPr="00505450" w:rsidRDefault="00505450" w:rsidP="00505450">
            <w:pPr>
              <w:numPr>
                <w:ilvl w:val="0"/>
                <w:numId w:val="15"/>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 xml:space="preserve">place </w:t>
            </w:r>
            <w:r w:rsidRPr="00505450">
              <w:rPr>
                <w:rFonts w:ascii="Arial" w:eastAsiaTheme="minorHAnsi" w:hAnsi="Arial" w:cs="Arial"/>
                <w:color w:val="231F20"/>
                <w:spacing w:val="-1"/>
                <w:sz w:val="18"/>
                <w:szCs w:val="18"/>
                <w:lang w:eastAsia="en-US"/>
              </w:rPr>
              <w:t>value</w:t>
            </w:r>
            <w:r w:rsidRPr="00505450">
              <w:rPr>
                <w:rFonts w:ascii="Arial" w:eastAsiaTheme="minorHAnsi" w:hAnsi="Arial" w:cs="Arial"/>
                <w:color w:val="231F20"/>
                <w:sz w:val="18"/>
                <w:szCs w:val="18"/>
                <w:lang w:eastAsia="en-US"/>
              </w:rPr>
              <w:t xml:space="preserve"> </w:t>
            </w:r>
            <w:r w:rsidRPr="00505450">
              <w:rPr>
                <w:rFonts w:ascii="Arial" w:eastAsiaTheme="minorHAnsi" w:hAnsi="Arial" w:cs="Arial"/>
                <w:color w:val="231F20"/>
                <w:spacing w:val="-2"/>
                <w:sz w:val="18"/>
                <w:szCs w:val="18"/>
                <w:lang w:eastAsia="en-US"/>
              </w:rPr>
              <w:t>to</w:t>
            </w:r>
            <w:r w:rsidRPr="00505450">
              <w:rPr>
                <w:rFonts w:ascii="Arial" w:eastAsiaTheme="minorHAnsi" w:hAnsi="Arial" w:cs="Arial"/>
                <w:color w:val="231F20"/>
                <w:sz w:val="18"/>
                <w:szCs w:val="18"/>
                <w:lang w:eastAsia="en-US"/>
              </w:rPr>
              <w:t xml:space="preserve"> thousandths</w:t>
            </w:r>
          </w:p>
          <w:p w:rsidR="00505450" w:rsidRPr="00505450" w:rsidRDefault="00505450" w:rsidP="00505450">
            <w:pPr>
              <w:numPr>
                <w:ilvl w:val="0"/>
                <w:numId w:val="15"/>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pacing w:val="-2"/>
                <w:sz w:val="18"/>
                <w:szCs w:val="18"/>
                <w:lang w:eastAsia="en-US"/>
              </w:rPr>
              <w:t>percentages</w:t>
            </w:r>
          </w:p>
          <w:p w:rsidR="00505450" w:rsidRPr="00505450" w:rsidRDefault="00505450" w:rsidP="00505450">
            <w:pPr>
              <w:kinsoku w:val="0"/>
              <w:overflowPunct w:val="0"/>
              <w:autoSpaceDE w:val="0"/>
              <w:autoSpaceDN w:val="0"/>
              <w:adjustRightInd w:val="0"/>
              <w:rPr>
                <w:rFonts w:ascii="Arial" w:eastAsiaTheme="minorHAnsi" w:hAnsi="Arial" w:cs="Arial"/>
                <w:i/>
                <w:iCs/>
                <w:sz w:val="18"/>
                <w:szCs w:val="18"/>
                <w:lang w:eastAsia="en-US"/>
              </w:rPr>
            </w:pPr>
          </w:p>
          <w:p w:rsidR="00505450" w:rsidRPr="00505450" w:rsidRDefault="00505450" w:rsidP="00505450">
            <w:pPr>
              <w:kinsoku w:val="0"/>
              <w:overflowPunct w:val="0"/>
              <w:autoSpaceDE w:val="0"/>
              <w:autoSpaceDN w:val="0"/>
              <w:adjustRightInd w:val="0"/>
              <w:spacing w:before="11"/>
              <w:ind w:left="40"/>
              <w:outlineLvl w:val="0"/>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Calcul</w:t>
            </w:r>
            <w:r w:rsidRPr="00505450">
              <w:rPr>
                <w:rFonts w:ascii="Arial" w:eastAsiaTheme="minorHAnsi" w:hAnsi="Arial" w:cs="Arial"/>
                <w:color w:val="231F20"/>
                <w:spacing w:val="-2"/>
                <w:sz w:val="18"/>
                <w:szCs w:val="18"/>
                <w:lang w:eastAsia="en-US"/>
              </w:rPr>
              <w:t>a</w:t>
            </w:r>
            <w:r w:rsidRPr="00505450">
              <w:rPr>
                <w:rFonts w:ascii="Arial" w:eastAsiaTheme="minorHAnsi" w:hAnsi="Arial" w:cs="Arial"/>
                <w:color w:val="231F20"/>
                <w:sz w:val="18"/>
                <w:szCs w:val="18"/>
                <w:lang w:eastAsia="en-US"/>
              </w:rPr>
              <w:t>ting</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(Mathletics pp.</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26–34)</w:t>
            </w:r>
          </w:p>
          <w:p w:rsidR="00505450" w:rsidRPr="00505450" w:rsidRDefault="00505450" w:rsidP="00505450">
            <w:pPr>
              <w:numPr>
                <w:ilvl w:val="0"/>
                <w:numId w:val="14"/>
              </w:numPr>
              <w:tabs>
                <w:tab w:val="left" w:pos="2149"/>
              </w:tabs>
              <w:kinsoku w:val="0"/>
              <w:overflowPunct w:val="0"/>
              <w:autoSpaceDE w:val="0"/>
              <w:autoSpaceDN w:val="0"/>
              <w:adjustRightInd w:val="0"/>
              <w:spacing w:before="148"/>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adding</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pacing w:val="-1"/>
                <w:sz w:val="18"/>
                <w:szCs w:val="18"/>
                <w:lang w:eastAsia="en-US"/>
              </w:rPr>
              <w:t>subtracting</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pacing w:val="-1"/>
                <w:sz w:val="18"/>
                <w:szCs w:val="18"/>
                <w:lang w:eastAsia="en-US"/>
              </w:rPr>
              <w:t>fractions</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with</w:t>
            </w:r>
            <w:r w:rsidRPr="00505450">
              <w:rPr>
                <w:rFonts w:ascii="Arial" w:eastAsiaTheme="minorHAnsi" w:hAnsi="Arial" w:cs="Arial"/>
                <w:color w:val="231F20"/>
                <w:spacing w:val="-2"/>
                <w:sz w:val="18"/>
                <w:szCs w:val="18"/>
                <w:lang w:eastAsia="en-US"/>
              </w:rPr>
              <w:t xml:space="preserve"> like </w:t>
            </w:r>
            <w:r w:rsidRPr="00505450">
              <w:rPr>
                <w:rFonts w:ascii="Arial" w:eastAsiaTheme="minorHAnsi" w:hAnsi="Arial" w:cs="Arial"/>
                <w:color w:val="231F20"/>
                <w:spacing w:val="-1"/>
                <w:sz w:val="18"/>
                <w:szCs w:val="18"/>
                <w:lang w:eastAsia="en-US"/>
              </w:rPr>
              <w:t>denominators</w:t>
            </w:r>
          </w:p>
          <w:p w:rsidR="00505450" w:rsidRPr="00505450" w:rsidRDefault="00505450" w:rsidP="00505450">
            <w:pPr>
              <w:numPr>
                <w:ilvl w:val="0"/>
                <w:numId w:val="14"/>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adding</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1"/>
                <w:sz w:val="18"/>
                <w:szCs w:val="18"/>
                <w:lang w:eastAsia="en-US"/>
              </w:rPr>
              <w:t xml:space="preserve"> subtracting</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pacing w:val="-1"/>
                <w:sz w:val="18"/>
                <w:szCs w:val="18"/>
                <w:lang w:eastAsia="en-US"/>
              </w:rPr>
              <w:t>fractions to</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1"/>
                <w:sz w:val="18"/>
                <w:szCs w:val="18"/>
                <w:lang w:eastAsia="en-US"/>
              </w:rPr>
              <w:t xml:space="preserve"> from</w:t>
            </w:r>
            <w:r w:rsidRPr="00505450">
              <w:rPr>
                <w:rFonts w:ascii="Arial" w:eastAsiaTheme="minorHAnsi" w:hAnsi="Arial" w:cs="Arial"/>
                <w:color w:val="231F20"/>
                <w:spacing w:val="-2"/>
                <w:sz w:val="18"/>
                <w:szCs w:val="18"/>
                <w:lang w:eastAsia="en-US"/>
              </w:rPr>
              <w:t xml:space="preserve"> </w:t>
            </w:r>
            <w:r w:rsidRPr="00505450">
              <w:rPr>
                <w:rFonts w:ascii="Arial" w:eastAsiaTheme="minorHAnsi" w:hAnsi="Arial" w:cs="Arial"/>
                <w:color w:val="231F20"/>
                <w:sz w:val="18"/>
                <w:szCs w:val="18"/>
                <w:lang w:eastAsia="en-US"/>
              </w:rPr>
              <w:t>a</w:t>
            </w:r>
            <w:r w:rsidRPr="00505450">
              <w:rPr>
                <w:rFonts w:ascii="Arial" w:eastAsiaTheme="minorHAnsi" w:hAnsi="Arial" w:cs="Arial"/>
                <w:color w:val="231F20"/>
                <w:spacing w:val="-1"/>
                <w:sz w:val="18"/>
                <w:szCs w:val="18"/>
                <w:lang w:eastAsia="en-US"/>
              </w:rPr>
              <w:t xml:space="preserve"> </w:t>
            </w:r>
            <w:r w:rsidRPr="00505450">
              <w:rPr>
                <w:rFonts w:ascii="Arial" w:eastAsiaTheme="minorHAnsi" w:hAnsi="Arial" w:cs="Arial"/>
                <w:color w:val="231F20"/>
                <w:sz w:val="18"/>
                <w:szCs w:val="18"/>
                <w:lang w:eastAsia="en-US"/>
              </w:rPr>
              <w:t>whole</w:t>
            </w:r>
          </w:p>
          <w:p w:rsidR="00505450" w:rsidRPr="00505450" w:rsidRDefault="00505450" w:rsidP="00505450">
            <w:pPr>
              <w:numPr>
                <w:ilvl w:val="0"/>
                <w:numId w:val="14"/>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adding</w:t>
            </w:r>
            <w:r w:rsidRPr="00505450">
              <w:rPr>
                <w:rFonts w:ascii="Arial" w:eastAsiaTheme="minorHAnsi" w:hAnsi="Arial" w:cs="Arial"/>
                <w:color w:val="231F20"/>
                <w:spacing w:val="-4"/>
                <w:sz w:val="18"/>
                <w:szCs w:val="18"/>
                <w:lang w:eastAsia="en-US"/>
              </w:rPr>
              <w:t xml:space="preserve"> </w:t>
            </w:r>
            <w:r w:rsidRPr="00505450">
              <w:rPr>
                <w:rFonts w:ascii="Arial" w:eastAsiaTheme="minorHAnsi" w:hAnsi="Arial" w:cs="Arial"/>
                <w:color w:val="231F20"/>
                <w:sz w:val="18"/>
                <w:szCs w:val="18"/>
                <w:lang w:eastAsia="en-US"/>
              </w:rPr>
              <w:t>and</w:t>
            </w:r>
            <w:r w:rsidRPr="00505450">
              <w:rPr>
                <w:rFonts w:ascii="Arial" w:eastAsiaTheme="minorHAnsi" w:hAnsi="Arial" w:cs="Arial"/>
                <w:color w:val="231F20"/>
                <w:spacing w:val="-4"/>
                <w:sz w:val="18"/>
                <w:szCs w:val="18"/>
                <w:lang w:eastAsia="en-US"/>
              </w:rPr>
              <w:t xml:space="preserve"> </w:t>
            </w:r>
            <w:r w:rsidRPr="00505450">
              <w:rPr>
                <w:rFonts w:ascii="Arial" w:eastAsiaTheme="minorHAnsi" w:hAnsi="Arial" w:cs="Arial"/>
                <w:color w:val="231F20"/>
                <w:spacing w:val="-1"/>
                <w:sz w:val="18"/>
                <w:szCs w:val="18"/>
                <w:lang w:eastAsia="en-US"/>
              </w:rPr>
              <w:t>subtracting</w:t>
            </w:r>
            <w:r w:rsidRPr="00505450">
              <w:rPr>
                <w:rFonts w:ascii="Arial" w:eastAsiaTheme="minorHAnsi" w:hAnsi="Arial" w:cs="Arial"/>
                <w:color w:val="231F20"/>
                <w:spacing w:val="-4"/>
                <w:sz w:val="18"/>
                <w:szCs w:val="18"/>
                <w:lang w:eastAsia="en-US"/>
              </w:rPr>
              <w:t xml:space="preserve"> </w:t>
            </w:r>
            <w:r w:rsidRPr="00505450">
              <w:rPr>
                <w:rFonts w:ascii="Arial" w:eastAsiaTheme="minorHAnsi" w:hAnsi="Arial" w:cs="Arial"/>
                <w:color w:val="231F20"/>
                <w:spacing w:val="-1"/>
                <w:sz w:val="18"/>
                <w:szCs w:val="18"/>
                <w:lang w:eastAsia="en-US"/>
              </w:rPr>
              <w:t>fractions</w:t>
            </w:r>
          </w:p>
          <w:p w:rsidR="00505450" w:rsidRPr="00505450" w:rsidRDefault="00505450" w:rsidP="00505450">
            <w:pPr>
              <w:numPr>
                <w:ilvl w:val="0"/>
                <w:numId w:val="14"/>
              </w:numPr>
              <w:tabs>
                <w:tab w:val="left" w:pos="2149"/>
              </w:tabs>
              <w:kinsoku w:val="0"/>
              <w:overflowPunct w:val="0"/>
              <w:autoSpaceDE w:val="0"/>
              <w:autoSpaceDN w:val="0"/>
              <w:adjustRightInd w:val="0"/>
              <w:spacing w:before="165"/>
              <w:rPr>
                <w:rFonts w:ascii="Arial" w:eastAsiaTheme="minorHAnsi" w:hAnsi="Arial" w:cs="Arial"/>
                <w:color w:val="000000"/>
                <w:sz w:val="18"/>
                <w:szCs w:val="18"/>
                <w:lang w:eastAsia="en-US"/>
              </w:rPr>
            </w:pPr>
            <w:r w:rsidRPr="00505450">
              <w:rPr>
                <w:rFonts w:ascii="Arial" w:eastAsiaTheme="minorHAnsi" w:hAnsi="Arial" w:cs="Arial"/>
                <w:color w:val="231F20"/>
                <w:sz w:val="18"/>
                <w:szCs w:val="18"/>
                <w:lang w:eastAsia="en-US"/>
              </w:rPr>
              <w:t>adding</w:t>
            </w:r>
            <w:r w:rsidRPr="00505450">
              <w:rPr>
                <w:rFonts w:ascii="Arial" w:eastAsiaTheme="minorHAnsi" w:hAnsi="Arial" w:cs="Arial"/>
                <w:color w:val="231F20"/>
                <w:spacing w:val="-4"/>
                <w:sz w:val="18"/>
                <w:szCs w:val="18"/>
                <w:lang w:eastAsia="en-US"/>
              </w:rPr>
              <w:t xml:space="preserve"> </w:t>
            </w:r>
            <w:r w:rsidRPr="00505450">
              <w:rPr>
                <w:rFonts w:ascii="Arial" w:eastAsiaTheme="minorHAnsi" w:hAnsi="Arial" w:cs="Arial"/>
                <w:color w:val="231F20"/>
                <w:sz w:val="18"/>
                <w:szCs w:val="18"/>
                <w:lang w:eastAsia="en-US"/>
              </w:rPr>
              <w:t>decimal</w:t>
            </w:r>
            <w:r w:rsidRPr="00505450">
              <w:rPr>
                <w:rFonts w:ascii="Arial" w:eastAsiaTheme="minorHAnsi" w:hAnsi="Arial" w:cs="Arial"/>
                <w:color w:val="231F20"/>
                <w:spacing w:val="-3"/>
                <w:sz w:val="18"/>
                <w:szCs w:val="18"/>
                <w:lang w:eastAsia="en-US"/>
              </w:rPr>
              <w:t xml:space="preserve"> </w:t>
            </w:r>
            <w:r w:rsidRPr="00505450">
              <w:rPr>
                <w:rFonts w:ascii="Arial" w:eastAsiaTheme="minorHAnsi" w:hAnsi="Arial" w:cs="Arial"/>
                <w:color w:val="231F20"/>
                <w:spacing w:val="-1"/>
                <w:sz w:val="18"/>
                <w:szCs w:val="18"/>
                <w:lang w:eastAsia="en-US"/>
              </w:rPr>
              <w:t>fractions</w:t>
            </w:r>
          </w:p>
          <w:p w:rsidR="001C4899" w:rsidRPr="00505450" w:rsidRDefault="00505450" w:rsidP="001C4899">
            <w:pPr>
              <w:kinsoku w:val="0"/>
              <w:overflowPunct w:val="0"/>
              <w:autoSpaceDE w:val="0"/>
              <w:autoSpaceDN w:val="0"/>
              <w:adjustRightInd w:val="0"/>
              <w:spacing w:before="43"/>
              <w:ind w:left="40"/>
              <w:outlineLvl w:val="0"/>
              <w:rPr>
                <w:rFonts w:ascii="Arial" w:eastAsiaTheme="minorHAnsi" w:hAnsi="Arial" w:cs="Arial"/>
                <w:b/>
                <w:color w:val="231F20"/>
                <w:spacing w:val="-2"/>
                <w:sz w:val="18"/>
                <w:szCs w:val="18"/>
                <w:lang w:eastAsia="en-US"/>
              </w:rPr>
            </w:pPr>
            <w:r w:rsidRPr="00505450">
              <w:rPr>
                <w:rFonts w:ascii="Arial" w:eastAsiaTheme="minorHAnsi" w:hAnsi="Arial" w:cs="Arial"/>
                <w:b/>
                <w:color w:val="231F20"/>
                <w:spacing w:val="-2"/>
                <w:sz w:val="18"/>
                <w:szCs w:val="18"/>
                <w:lang w:eastAsia="en-US"/>
              </w:rPr>
              <w:lastRenderedPageBreak/>
              <w:t>Students are to complete each activity in their workbook then engage within the online Mathletics activities.</w:t>
            </w:r>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1D3464">
              <w:rPr>
                <w:noProof/>
              </w:rPr>
              <w:drawing>
                <wp:inline distT="0" distB="0" distL="0" distR="0" wp14:anchorId="6A1F47A5" wp14:editId="4D0C839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742050D4" wp14:editId="16C9B839">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8B3B1D">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3AD2910" wp14:editId="350D3A28">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2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577CE739" wp14:editId="6DBF559D">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6"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Pr="00BC3605" w:rsidRDefault="006A77A1" w:rsidP="008B3B1D">
            <w:pPr>
              <w:autoSpaceDE w:val="0"/>
              <w:autoSpaceDN w:val="0"/>
              <w:adjustRightInd w:val="0"/>
              <w:spacing w:before="120"/>
              <w:jc w:val="center"/>
              <w:rPr>
                <w:rFonts w:ascii="Arial" w:hAnsi="Arial" w:cs="Arial"/>
                <w:sz w:val="20"/>
                <w:szCs w:val="20"/>
              </w:rPr>
            </w:pPr>
          </w:p>
        </w:tc>
      </w:tr>
      <w:tr w:rsidR="006A77A1" w:rsidRPr="0047183A" w:rsidTr="00841604">
        <w:tc>
          <w:tcPr>
            <w:tcW w:w="2496" w:type="pct"/>
            <w:gridSpan w:val="7"/>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11"/>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841604">
        <w:tc>
          <w:tcPr>
            <w:tcW w:w="2496" w:type="pct"/>
            <w:gridSpan w:val="7"/>
            <w:shd w:val="clear" w:color="auto" w:fill="auto"/>
          </w:tcPr>
          <w:p w:rsidR="000F033A" w:rsidRDefault="000F033A" w:rsidP="000F033A">
            <w:pPr>
              <w:spacing w:before="120" w:after="120"/>
              <w:rPr>
                <w:rFonts w:ascii="Arial" w:hAnsi="Arial" w:cs="Arial"/>
                <w:sz w:val="18"/>
                <w:szCs w:val="18"/>
              </w:rPr>
            </w:pPr>
            <w:r>
              <w:rPr>
                <w:rFonts w:ascii="Arial" w:hAnsi="Arial" w:cs="Arial"/>
                <w:sz w:val="18"/>
                <w:szCs w:val="18"/>
              </w:rPr>
              <w:t>Extra support given to students in need of it.</w:t>
            </w:r>
          </w:p>
          <w:p w:rsidR="000F033A" w:rsidRDefault="000F033A" w:rsidP="000F033A">
            <w:pPr>
              <w:spacing w:before="120" w:after="120"/>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work consist</w:t>
            </w:r>
            <w:proofErr w:type="gramEnd"/>
            <w:r>
              <w:rPr>
                <w:rFonts w:ascii="Arial" w:hAnsi="Arial" w:cs="Arial"/>
                <w:sz w:val="18"/>
                <w:szCs w:val="18"/>
              </w:rPr>
              <w:t xml:space="preserve"> of a variety of activities aimed at different types of learning.</w:t>
            </w:r>
          </w:p>
          <w:p w:rsidR="000F033A" w:rsidRDefault="000F033A" w:rsidP="000F033A">
            <w:pPr>
              <w:spacing w:before="120" w:after="120"/>
              <w:rPr>
                <w:rFonts w:ascii="Arial" w:hAnsi="Arial" w:cs="Arial"/>
                <w:sz w:val="18"/>
                <w:szCs w:val="18"/>
              </w:rPr>
            </w:pPr>
            <w:r>
              <w:rPr>
                <w:rFonts w:ascii="Arial" w:hAnsi="Arial" w:cs="Arial"/>
                <w:sz w:val="18"/>
                <w:szCs w:val="18"/>
              </w:rPr>
              <w:t>Age stage appropriate work.</w:t>
            </w:r>
          </w:p>
          <w:p w:rsidR="000F033A" w:rsidRDefault="000F033A" w:rsidP="000F033A">
            <w:pPr>
              <w:spacing w:before="120" w:after="120"/>
              <w:rPr>
                <w:rFonts w:ascii="Arial" w:hAnsi="Arial" w:cs="Arial"/>
                <w:sz w:val="18"/>
                <w:szCs w:val="18"/>
              </w:rPr>
            </w:pPr>
            <w:r>
              <w:rPr>
                <w:rFonts w:ascii="Arial" w:hAnsi="Arial" w:cs="Arial"/>
                <w:sz w:val="18"/>
                <w:szCs w:val="18"/>
              </w:rPr>
              <w:t>Work designed to engage learners as it is altered for their interests.</w:t>
            </w:r>
          </w:p>
          <w:p w:rsidR="006A77A1" w:rsidRPr="0047183A" w:rsidRDefault="000F033A" w:rsidP="000F033A">
            <w:pPr>
              <w:spacing w:before="120" w:after="120"/>
              <w:rPr>
                <w:rFonts w:ascii="Arial" w:hAnsi="Arial" w:cs="Arial"/>
                <w:sz w:val="20"/>
                <w:szCs w:val="20"/>
              </w:rPr>
            </w:pPr>
            <w:r>
              <w:rPr>
                <w:rFonts w:ascii="Arial" w:hAnsi="Arial" w:cs="Arial"/>
                <w:sz w:val="18"/>
                <w:szCs w:val="18"/>
              </w:rPr>
              <w:t>Students’ work adjusted to meet their personal learning plans goals and outcomes.</w:t>
            </w:r>
          </w:p>
        </w:tc>
        <w:tc>
          <w:tcPr>
            <w:tcW w:w="2504" w:type="pct"/>
            <w:gridSpan w:val="11"/>
            <w:shd w:val="clear" w:color="auto" w:fill="auto"/>
          </w:tcPr>
          <w:p w:rsidR="006A77A1" w:rsidRPr="0047183A" w:rsidRDefault="000F033A" w:rsidP="000F033A">
            <w:pPr>
              <w:spacing w:before="120" w:after="120"/>
              <w:rPr>
                <w:rFonts w:ascii="Arial" w:hAnsi="Arial" w:cs="Arial"/>
                <w:sz w:val="20"/>
                <w:szCs w:val="20"/>
              </w:rPr>
            </w:pPr>
            <w:r w:rsidRPr="002C211A">
              <w:rPr>
                <w:rFonts w:ascii="Arial" w:hAnsi="Arial" w:cs="Arial"/>
                <w:sz w:val="18"/>
                <w:szCs w:val="18"/>
              </w:rPr>
              <w:t>This</w:t>
            </w:r>
            <w:r>
              <w:rPr>
                <w:rFonts w:ascii="Arial" w:hAnsi="Arial" w:cs="Arial"/>
                <w:sz w:val="18"/>
                <w:szCs w:val="18"/>
              </w:rPr>
              <w:t xml:space="preserve"> unit develops students’ mathematical skills in basic operations. These skills are used in most occupations.</w:t>
            </w:r>
          </w:p>
        </w:tc>
      </w:tr>
      <w:tr w:rsidR="006A77A1" w:rsidRPr="0047183A" w:rsidTr="008B3B1D">
        <w:tc>
          <w:tcPr>
            <w:tcW w:w="5000" w:type="pct"/>
            <w:gridSpan w:val="18"/>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18"/>
            <w:shd w:val="clear" w:color="auto" w:fill="auto"/>
          </w:tcPr>
          <w:p w:rsidR="000F033A" w:rsidRPr="006765E9" w:rsidRDefault="000F033A" w:rsidP="000F033A">
            <w:pPr>
              <w:rPr>
                <w:rFonts w:ascii="Arial" w:hAnsi="Arial" w:cs="Arial"/>
                <w:sz w:val="18"/>
                <w:szCs w:val="18"/>
              </w:rPr>
            </w:pPr>
            <w:r w:rsidRPr="006765E9">
              <w:rPr>
                <w:rFonts w:ascii="Arial" w:hAnsi="Arial" w:cs="Arial"/>
                <w:sz w:val="18"/>
                <w:szCs w:val="18"/>
              </w:rPr>
              <w:t>Formative:</w:t>
            </w:r>
          </w:p>
          <w:p w:rsidR="000F033A" w:rsidRDefault="000F033A" w:rsidP="000F033A">
            <w:pPr>
              <w:spacing w:before="120" w:after="120"/>
              <w:rPr>
                <w:rFonts w:ascii="Arial" w:hAnsi="Arial" w:cs="Arial"/>
                <w:sz w:val="18"/>
                <w:szCs w:val="18"/>
              </w:rPr>
            </w:pPr>
            <w:r w:rsidRPr="006765E9">
              <w:rPr>
                <w:rFonts w:ascii="Arial" w:hAnsi="Arial" w:cs="Arial"/>
                <w:sz w:val="18"/>
                <w:szCs w:val="18"/>
              </w:rPr>
              <w:t>Stude</w:t>
            </w:r>
            <w:r>
              <w:rPr>
                <w:rFonts w:ascii="Arial" w:hAnsi="Arial" w:cs="Arial"/>
                <w:sz w:val="18"/>
                <w:szCs w:val="18"/>
              </w:rPr>
              <w:t xml:space="preserve">nt work samples, </w:t>
            </w:r>
            <w:r w:rsidRPr="006765E9">
              <w:rPr>
                <w:rFonts w:ascii="Arial" w:hAnsi="Arial" w:cs="Arial"/>
                <w:sz w:val="18"/>
                <w:szCs w:val="18"/>
              </w:rPr>
              <w:t>Student response</w:t>
            </w:r>
            <w:r>
              <w:rPr>
                <w:rFonts w:ascii="Arial" w:hAnsi="Arial" w:cs="Arial"/>
                <w:sz w:val="18"/>
                <w:szCs w:val="18"/>
              </w:rPr>
              <w:t xml:space="preserve">s to discussion and questioning, </w:t>
            </w:r>
            <w:r w:rsidRPr="006765E9">
              <w:rPr>
                <w:rFonts w:ascii="Arial" w:hAnsi="Arial" w:cs="Arial"/>
                <w:sz w:val="18"/>
                <w:szCs w:val="18"/>
              </w:rPr>
              <w:t xml:space="preserve">student participation in whole class activities </w:t>
            </w:r>
            <w:proofErr w:type="spellStart"/>
            <w:r w:rsidRPr="006765E9">
              <w:rPr>
                <w:rFonts w:ascii="Arial" w:hAnsi="Arial" w:cs="Arial"/>
                <w:sz w:val="18"/>
                <w:szCs w:val="18"/>
              </w:rPr>
              <w:t>eg</w:t>
            </w:r>
            <w:proofErr w:type="spellEnd"/>
            <w:r w:rsidRPr="006765E9">
              <w:rPr>
                <w:rFonts w:ascii="Arial" w:hAnsi="Arial" w:cs="Arial"/>
                <w:sz w:val="18"/>
                <w:szCs w:val="18"/>
              </w:rPr>
              <w:t>. whiteboard and group activities</w:t>
            </w:r>
          </w:p>
          <w:p w:rsidR="000F033A" w:rsidRDefault="000F033A" w:rsidP="000F033A">
            <w:pPr>
              <w:spacing w:before="120" w:after="120"/>
              <w:rPr>
                <w:rFonts w:ascii="Arial" w:hAnsi="Arial" w:cs="Arial"/>
                <w:sz w:val="18"/>
                <w:szCs w:val="18"/>
              </w:rPr>
            </w:pPr>
            <w:r>
              <w:rPr>
                <w:rFonts w:ascii="Arial" w:hAnsi="Arial" w:cs="Arial"/>
                <w:sz w:val="18"/>
                <w:szCs w:val="18"/>
              </w:rPr>
              <w:t>Summative:</w:t>
            </w:r>
          </w:p>
          <w:p w:rsidR="006A77A1" w:rsidRPr="0047183A" w:rsidRDefault="000F033A" w:rsidP="000F033A">
            <w:pPr>
              <w:spacing w:before="120" w:after="120"/>
              <w:rPr>
                <w:rFonts w:ascii="Arial" w:hAnsi="Arial" w:cs="Arial"/>
                <w:sz w:val="20"/>
                <w:szCs w:val="20"/>
              </w:rPr>
            </w:pPr>
            <w:r>
              <w:rPr>
                <w:rFonts w:ascii="Arial" w:hAnsi="Arial" w:cs="Arial"/>
                <w:sz w:val="18"/>
                <w:szCs w:val="18"/>
              </w:rPr>
              <w:t>Mathletics online activities.</w:t>
            </w:r>
          </w:p>
        </w:tc>
      </w:tr>
      <w:tr w:rsidR="00CA353A" w:rsidRPr="0047183A" w:rsidTr="00CA353A">
        <w:tc>
          <w:tcPr>
            <w:tcW w:w="5000" w:type="pct"/>
            <w:gridSpan w:val="18"/>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841604">
        <w:trPr>
          <w:trHeight w:val="233"/>
        </w:trPr>
        <w:tc>
          <w:tcPr>
            <w:tcW w:w="1669" w:type="pct"/>
            <w:gridSpan w:val="4"/>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6"/>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8"/>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0F033A" w:rsidRPr="0047183A" w:rsidTr="00841604">
        <w:trPr>
          <w:trHeight w:val="1821"/>
        </w:trPr>
        <w:tc>
          <w:tcPr>
            <w:tcW w:w="1669" w:type="pct"/>
            <w:gridSpan w:val="4"/>
            <w:shd w:val="clear" w:color="auto" w:fill="auto"/>
          </w:tcPr>
          <w:p w:rsidR="000F033A" w:rsidRDefault="000F033A" w:rsidP="00716E20">
            <w:pPr>
              <w:spacing w:before="120" w:after="120"/>
              <w:rPr>
                <w:rFonts w:ascii="Arial" w:hAnsi="Arial" w:cs="Arial"/>
                <w:sz w:val="20"/>
                <w:szCs w:val="20"/>
              </w:rPr>
            </w:pPr>
            <w:r>
              <w:rPr>
                <w:rFonts w:ascii="Arial" w:hAnsi="Arial" w:cs="Arial"/>
                <w:sz w:val="20"/>
                <w:szCs w:val="20"/>
              </w:rPr>
              <w:t>Lesson Planning</w:t>
            </w:r>
          </w:p>
          <w:p w:rsidR="000F033A" w:rsidRDefault="000F033A" w:rsidP="00716E20">
            <w:pPr>
              <w:spacing w:before="120" w:after="120"/>
              <w:rPr>
                <w:rFonts w:ascii="Arial" w:hAnsi="Arial" w:cs="Arial"/>
                <w:sz w:val="20"/>
                <w:szCs w:val="20"/>
              </w:rPr>
            </w:pPr>
            <w:r>
              <w:rPr>
                <w:rFonts w:ascii="Arial" w:hAnsi="Arial" w:cs="Arial"/>
                <w:sz w:val="20"/>
                <w:szCs w:val="20"/>
              </w:rPr>
              <w:t>Student</w:t>
            </w:r>
          </w:p>
          <w:p w:rsidR="000F033A" w:rsidRDefault="000F033A" w:rsidP="00716E20">
            <w:pPr>
              <w:spacing w:before="120" w:after="120"/>
              <w:rPr>
                <w:rFonts w:ascii="Arial" w:hAnsi="Arial" w:cs="Arial"/>
                <w:sz w:val="20"/>
                <w:szCs w:val="20"/>
              </w:rPr>
            </w:pPr>
            <w:r>
              <w:rPr>
                <w:rFonts w:ascii="Arial" w:hAnsi="Arial" w:cs="Arial"/>
                <w:sz w:val="20"/>
                <w:szCs w:val="20"/>
              </w:rPr>
              <w:t>Behaviour Support</w:t>
            </w:r>
          </w:p>
          <w:p w:rsidR="000F033A" w:rsidRDefault="000F033A" w:rsidP="00716E20">
            <w:pPr>
              <w:spacing w:before="120" w:after="120"/>
              <w:rPr>
                <w:rFonts w:ascii="Arial" w:hAnsi="Arial" w:cs="Arial"/>
                <w:sz w:val="20"/>
                <w:szCs w:val="20"/>
              </w:rPr>
            </w:pPr>
            <w:r>
              <w:rPr>
                <w:rFonts w:ascii="Arial" w:hAnsi="Arial" w:cs="Arial"/>
                <w:sz w:val="20"/>
                <w:szCs w:val="20"/>
              </w:rPr>
              <w:t>Class Instruction</w:t>
            </w:r>
          </w:p>
          <w:p w:rsidR="000F033A" w:rsidRDefault="000F033A" w:rsidP="00716E20">
            <w:pPr>
              <w:spacing w:before="120" w:after="120"/>
              <w:rPr>
                <w:rFonts w:ascii="Arial" w:hAnsi="Arial" w:cs="Arial"/>
                <w:sz w:val="20"/>
                <w:szCs w:val="20"/>
              </w:rPr>
            </w:pPr>
            <w:r>
              <w:rPr>
                <w:rFonts w:ascii="Arial" w:hAnsi="Arial" w:cs="Arial"/>
                <w:sz w:val="20"/>
                <w:szCs w:val="20"/>
              </w:rPr>
              <w:t>Resource Preparation</w:t>
            </w:r>
          </w:p>
          <w:p w:rsidR="000F033A" w:rsidRDefault="000F033A" w:rsidP="00716E20">
            <w:pPr>
              <w:spacing w:before="120" w:after="120"/>
              <w:rPr>
                <w:rFonts w:ascii="Arial" w:hAnsi="Arial" w:cs="Arial"/>
                <w:sz w:val="20"/>
                <w:szCs w:val="20"/>
              </w:rPr>
            </w:pPr>
          </w:p>
        </w:tc>
        <w:tc>
          <w:tcPr>
            <w:tcW w:w="1667" w:type="pct"/>
            <w:gridSpan w:val="6"/>
            <w:shd w:val="clear" w:color="auto" w:fill="auto"/>
          </w:tcPr>
          <w:p w:rsidR="000F033A" w:rsidRDefault="000F033A" w:rsidP="00716E20">
            <w:pPr>
              <w:spacing w:before="120" w:after="120"/>
              <w:rPr>
                <w:rFonts w:ascii="Arial" w:hAnsi="Arial" w:cs="Arial"/>
                <w:sz w:val="20"/>
                <w:szCs w:val="20"/>
              </w:rPr>
            </w:pPr>
            <w:r>
              <w:rPr>
                <w:rFonts w:ascii="Arial" w:hAnsi="Arial" w:cs="Arial"/>
                <w:sz w:val="20"/>
                <w:szCs w:val="20"/>
              </w:rPr>
              <w:t>Teacher Support</w:t>
            </w:r>
          </w:p>
          <w:p w:rsidR="000F033A" w:rsidRDefault="000F033A" w:rsidP="00716E20">
            <w:pPr>
              <w:spacing w:before="120" w:after="120"/>
              <w:rPr>
                <w:rFonts w:ascii="Arial" w:hAnsi="Arial" w:cs="Arial"/>
                <w:sz w:val="20"/>
                <w:szCs w:val="20"/>
              </w:rPr>
            </w:pPr>
            <w:r>
              <w:rPr>
                <w:rFonts w:ascii="Arial" w:hAnsi="Arial" w:cs="Arial"/>
                <w:sz w:val="20"/>
                <w:szCs w:val="20"/>
              </w:rPr>
              <w:t>Student Support, both individually and in small groups</w:t>
            </w:r>
          </w:p>
          <w:p w:rsidR="000F033A" w:rsidRDefault="000F033A" w:rsidP="00716E20">
            <w:pPr>
              <w:spacing w:before="120" w:after="120"/>
              <w:rPr>
                <w:rFonts w:ascii="Arial" w:hAnsi="Arial" w:cs="Arial"/>
                <w:sz w:val="20"/>
                <w:szCs w:val="20"/>
              </w:rPr>
            </w:pPr>
            <w:r>
              <w:rPr>
                <w:rFonts w:ascii="Arial" w:hAnsi="Arial" w:cs="Arial"/>
                <w:sz w:val="20"/>
                <w:szCs w:val="20"/>
              </w:rPr>
              <w:t>Behaviour Support (under teacher supervision)</w:t>
            </w:r>
          </w:p>
          <w:p w:rsidR="000F033A" w:rsidRDefault="000F033A" w:rsidP="00716E20">
            <w:pPr>
              <w:spacing w:before="120" w:after="120"/>
              <w:rPr>
                <w:rFonts w:ascii="Arial" w:hAnsi="Arial" w:cs="Arial"/>
                <w:sz w:val="20"/>
                <w:szCs w:val="20"/>
              </w:rPr>
            </w:pPr>
            <w:r>
              <w:rPr>
                <w:rFonts w:ascii="Arial" w:hAnsi="Arial" w:cs="Arial"/>
                <w:sz w:val="20"/>
                <w:szCs w:val="20"/>
              </w:rPr>
              <w:t>Resource Preparation</w:t>
            </w:r>
          </w:p>
          <w:p w:rsidR="000F033A" w:rsidRDefault="000F033A" w:rsidP="00716E20">
            <w:pPr>
              <w:spacing w:before="120" w:after="120"/>
              <w:rPr>
                <w:rFonts w:ascii="Arial" w:hAnsi="Arial" w:cs="Arial"/>
                <w:sz w:val="20"/>
                <w:szCs w:val="20"/>
              </w:rPr>
            </w:pPr>
          </w:p>
        </w:tc>
        <w:tc>
          <w:tcPr>
            <w:tcW w:w="1664" w:type="pct"/>
            <w:gridSpan w:val="8"/>
            <w:shd w:val="clear" w:color="auto" w:fill="auto"/>
          </w:tcPr>
          <w:p w:rsidR="000F033A" w:rsidRDefault="000F033A" w:rsidP="00716E20">
            <w:pPr>
              <w:spacing w:before="120" w:after="120"/>
              <w:rPr>
                <w:rFonts w:ascii="Arial" w:hAnsi="Arial" w:cs="Arial"/>
                <w:sz w:val="20"/>
                <w:szCs w:val="20"/>
              </w:rPr>
            </w:pPr>
            <w:r>
              <w:rPr>
                <w:rFonts w:ascii="Arial" w:hAnsi="Arial" w:cs="Arial"/>
                <w:sz w:val="20"/>
                <w:szCs w:val="20"/>
              </w:rPr>
              <w:t>Participation in all activities</w:t>
            </w:r>
          </w:p>
          <w:p w:rsidR="000F033A" w:rsidRDefault="000F033A" w:rsidP="00716E20">
            <w:pPr>
              <w:spacing w:before="120" w:after="120"/>
              <w:rPr>
                <w:rFonts w:ascii="Arial" w:hAnsi="Arial" w:cs="Arial"/>
                <w:sz w:val="20"/>
                <w:szCs w:val="20"/>
              </w:rPr>
            </w:pPr>
            <w:r>
              <w:rPr>
                <w:rFonts w:ascii="Arial" w:hAnsi="Arial" w:cs="Arial"/>
                <w:sz w:val="20"/>
                <w:szCs w:val="20"/>
              </w:rPr>
              <w:t>To develop both academic and social skills</w:t>
            </w:r>
          </w:p>
          <w:p w:rsidR="000F033A" w:rsidRDefault="000F033A" w:rsidP="00716E20">
            <w:pPr>
              <w:spacing w:before="120" w:after="120"/>
              <w:jc w:val="center"/>
              <w:rPr>
                <w:rFonts w:ascii="Arial" w:hAnsi="Arial" w:cs="Arial"/>
                <w:sz w:val="20"/>
                <w:szCs w:val="20"/>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lastRenderedPageBreak/>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8B3B1D">
        <w:trPr>
          <w:trHeight w:val="4706"/>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CA353A" w:rsidRDefault="00FA79E2" w:rsidP="008B3B1D">
            <w:pPr>
              <w:autoSpaceDE w:val="0"/>
              <w:autoSpaceDN w:val="0"/>
              <w:adjustRightInd w:val="0"/>
              <w:spacing w:before="120" w:after="120"/>
              <w:rPr>
                <w:rFonts w:ascii="Arial" w:hAnsi="Arial" w:cs="Arial"/>
                <w:sz w:val="20"/>
                <w:szCs w:val="20"/>
              </w:rPr>
            </w:pPr>
            <w:r>
              <w:rPr>
                <w:rFonts w:ascii="Arial" w:hAnsi="Arial" w:cs="Arial"/>
                <w:sz w:val="20"/>
                <w:szCs w:val="20"/>
              </w:rPr>
              <w:t>The multimodal approach to numeracy in this unit meant that students all could engage within task according to their ideal learning environment.  This made the unit on Fractions very easy to teach as it could provide a</w:t>
            </w:r>
            <w:r w:rsidR="0068732C">
              <w:rPr>
                <w:rFonts w:ascii="Arial" w:hAnsi="Arial" w:cs="Arial"/>
                <w:sz w:val="20"/>
                <w:szCs w:val="20"/>
              </w:rPr>
              <w:t xml:space="preserve"> variety</w:t>
            </w:r>
            <w:r>
              <w:rPr>
                <w:rFonts w:ascii="Arial" w:hAnsi="Arial" w:cs="Arial"/>
                <w:sz w:val="20"/>
                <w:szCs w:val="20"/>
              </w:rPr>
              <w:t xml:space="preserve"> of tasks to students at any given time. </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rsidR="006A77A1" w:rsidRDefault="00FA79E2" w:rsidP="008B3B1D">
            <w:pPr>
              <w:autoSpaceDE w:val="0"/>
              <w:autoSpaceDN w:val="0"/>
              <w:adjustRightInd w:val="0"/>
              <w:spacing w:before="120" w:after="120"/>
              <w:rPr>
                <w:rFonts w:ascii="Arial" w:hAnsi="Arial" w:cs="Arial"/>
                <w:sz w:val="20"/>
                <w:szCs w:val="20"/>
              </w:rPr>
            </w:pPr>
            <w:r>
              <w:rPr>
                <w:rFonts w:ascii="Arial" w:hAnsi="Arial" w:cs="Arial"/>
                <w:sz w:val="20"/>
                <w:szCs w:val="20"/>
              </w:rPr>
              <w:t>N/A</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rsidR="006A77A1" w:rsidRDefault="00FA79E2" w:rsidP="008B3B1D">
            <w:pPr>
              <w:autoSpaceDE w:val="0"/>
              <w:autoSpaceDN w:val="0"/>
              <w:adjustRightInd w:val="0"/>
              <w:spacing w:before="120" w:after="120"/>
              <w:rPr>
                <w:rFonts w:ascii="Arial" w:hAnsi="Arial" w:cs="Arial"/>
                <w:sz w:val="20"/>
                <w:szCs w:val="20"/>
              </w:rPr>
            </w:pPr>
            <w:r>
              <w:rPr>
                <w:rFonts w:ascii="Arial" w:hAnsi="Arial" w:cs="Arial"/>
                <w:sz w:val="20"/>
                <w:szCs w:val="20"/>
              </w:rPr>
              <w:t>Student should have an understanding that fractions are part of a whole number and they can be implemented or used in a variety of real life situations.  From this unit students should know what a fraction is, equivalent fractions, improper fractions, mix numerals and the relationship between fraction, decimals and percentages.</w:t>
            </w:r>
          </w:p>
          <w:p w:rsidR="00CA353A" w:rsidRDefault="00CA353A" w:rsidP="008B3B1D">
            <w:pPr>
              <w:autoSpaceDE w:val="0"/>
              <w:autoSpaceDN w:val="0"/>
              <w:adjustRightInd w:val="0"/>
              <w:spacing w:before="120" w:after="120"/>
              <w:rPr>
                <w:rFonts w:ascii="Arial" w:hAnsi="Arial" w:cs="Arial"/>
                <w:sz w:val="20"/>
                <w:szCs w:val="20"/>
              </w:rPr>
            </w:pP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rsidR="006A77A1" w:rsidRDefault="00306616" w:rsidP="008B3B1D">
            <w:pPr>
              <w:autoSpaceDE w:val="0"/>
              <w:autoSpaceDN w:val="0"/>
              <w:adjustRightInd w:val="0"/>
              <w:spacing w:before="120" w:after="120"/>
              <w:rPr>
                <w:rFonts w:ascii="Arial" w:hAnsi="Arial" w:cs="Arial"/>
                <w:sz w:val="20"/>
                <w:szCs w:val="20"/>
              </w:rPr>
            </w:pPr>
            <w:r>
              <w:rPr>
                <w:rFonts w:ascii="Arial" w:hAnsi="Arial" w:cs="Arial"/>
                <w:sz w:val="20"/>
                <w:szCs w:val="20"/>
              </w:rPr>
              <w:t>This unit of incorporated several Elements of Learning and Achievement as Fractions are an essential part of daily life. Students had an opportunity to engage in this unit by completing activities with an ICT focus and real life situations so that the relevance for them post schooling was extremely obvious.</w:t>
            </w:r>
          </w:p>
          <w:p w:rsidR="00CA353A" w:rsidRDefault="00CA353A" w:rsidP="008B3B1D">
            <w:pPr>
              <w:autoSpaceDE w:val="0"/>
              <w:autoSpaceDN w:val="0"/>
              <w:adjustRightInd w:val="0"/>
              <w:spacing w:before="120" w:after="120"/>
              <w:rPr>
                <w:rFonts w:ascii="Arial" w:hAnsi="Arial" w:cs="Arial"/>
                <w:sz w:val="20"/>
                <w:szCs w:val="20"/>
              </w:rPr>
            </w:pPr>
          </w:p>
          <w:p w:rsidR="006A77A1" w:rsidRPr="003107DE"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6A77A1" w:rsidRDefault="00B509E7" w:rsidP="008B3B1D">
            <w:pPr>
              <w:rPr>
                <w:rFonts w:ascii="Arial" w:hAnsi="Arial" w:cs="Arial"/>
                <w:sz w:val="20"/>
                <w:szCs w:val="20"/>
              </w:rPr>
            </w:pPr>
            <w:r>
              <w:rPr>
                <w:rFonts w:ascii="Arial" w:hAnsi="Arial" w:cs="Arial"/>
                <w:sz w:val="20"/>
                <w:szCs w:val="20"/>
              </w:rPr>
              <w:t xml:space="preserve">There needs to be a variety of learning activities and resources that are varied and interactive.  This enables students to have a variety of learning opportunities to demonstrate their learning and understanding. </w:t>
            </w:r>
          </w:p>
          <w:p w:rsidR="00CA353A" w:rsidRDefault="00CA353A" w:rsidP="008B3B1D">
            <w:pPr>
              <w:rPr>
                <w:rFonts w:ascii="Arial" w:hAnsi="Arial" w:cs="Arial"/>
                <w:sz w:val="20"/>
                <w:szCs w:val="20"/>
              </w:rPr>
            </w:pPr>
          </w:p>
          <w:p w:rsidR="006A77A1" w:rsidRDefault="006A77A1" w:rsidP="008B3B1D">
            <w:pPr>
              <w:rPr>
                <w:rFonts w:ascii="Arial" w:hAnsi="Arial" w:cs="Arial"/>
                <w:sz w:val="20"/>
                <w:szCs w:val="20"/>
              </w:rPr>
            </w:pPr>
          </w:p>
          <w:p w:rsidR="006A77A1" w:rsidRDefault="006A77A1" w:rsidP="008B3B1D">
            <w:pPr>
              <w:rPr>
                <w:rFonts w:ascii="Arial" w:hAnsi="Arial" w:cs="Arial"/>
                <w:sz w:val="20"/>
                <w:szCs w:val="20"/>
              </w:rPr>
            </w:pPr>
            <w:r>
              <w:rPr>
                <w:rFonts w:ascii="Arial" w:hAnsi="Arial" w:cs="Arial"/>
                <w:sz w:val="20"/>
                <w:szCs w:val="20"/>
              </w:rPr>
              <w:t xml:space="preserve">How will I use this experience to extend my practice in the future?  </w:t>
            </w:r>
          </w:p>
          <w:p w:rsidR="006A77A1" w:rsidRDefault="00B509E7" w:rsidP="008B3B1D">
            <w:pPr>
              <w:autoSpaceDE w:val="0"/>
              <w:autoSpaceDN w:val="0"/>
              <w:adjustRightInd w:val="0"/>
              <w:spacing w:before="120" w:after="120"/>
              <w:rPr>
                <w:rFonts w:ascii="Arial" w:hAnsi="Arial" w:cs="Arial"/>
                <w:sz w:val="20"/>
                <w:szCs w:val="20"/>
              </w:rPr>
            </w:pPr>
            <w:r>
              <w:rPr>
                <w:rFonts w:ascii="Arial" w:hAnsi="Arial" w:cs="Arial"/>
                <w:sz w:val="20"/>
                <w:szCs w:val="20"/>
              </w:rPr>
              <w:t>I will always ensure that each mathematics unit of study is well resourced. Furthermore, it is also essential that assessing student learning is ongoing in order to progress them to achieving more complex tasks.</w:t>
            </w:r>
          </w:p>
          <w:p w:rsidR="00CA353A" w:rsidRPr="00424CA7" w:rsidRDefault="00CA353A" w:rsidP="008B3B1D">
            <w:pPr>
              <w:autoSpaceDE w:val="0"/>
              <w:autoSpaceDN w:val="0"/>
              <w:adjustRightInd w:val="0"/>
              <w:spacing w:before="120" w:after="120"/>
              <w:rPr>
                <w:rFonts w:ascii="Arial" w:hAnsi="Arial" w:cs="Arial"/>
                <w:sz w:val="20"/>
                <w:szCs w:val="20"/>
              </w:rPr>
            </w:pP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0E4EE4"/>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148" w:hanging="227"/>
      </w:pPr>
      <w:rPr>
        <w:rFonts w:ascii="Calibri" w:hAnsi="Calibri" w:cs="Calibri"/>
        <w:b w:val="0"/>
        <w:bCs w:val="0"/>
        <w:color w:val="231F20"/>
        <w:sz w:val="22"/>
        <w:szCs w:val="22"/>
      </w:rPr>
    </w:lvl>
    <w:lvl w:ilvl="1">
      <w:numFmt w:val="bullet"/>
      <w:lvlText w:val="•"/>
      <w:lvlJc w:val="left"/>
      <w:pPr>
        <w:ind w:left="2841" w:hanging="227"/>
      </w:pPr>
    </w:lvl>
    <w:lvl w:ilvl="2">
      <w:numFmt w:val="bullet"/>
      <w:lvlText w:val="•"/>
      <w:lvlJc w:val="left"/>
      <w:pPr>
        <w:ind w:left="3535" w:hanging="227"/>
      </w:pPr>
    </w:lvl>
    <w:lvl w:ilvl="3">
      <w:numFmt w:val="bullet"/>
      <w:lvlText w:val="•"/>
      <w:lvlJc w:val="left"/>
      <w:pPr>
        <w:ind w:left="4229" w:hanging="227"/>
      </w:pPr>
    </w:lvl>
    <w:lvl w:ilvl="4">
      <w:numFmt w:val="bullet"/>
      <w:lvlText w:val="•"/>
      <w:lvlJc w:val="left"/>
      <w:pPr>
        <w:ind w:left="4923" w:hanging="227"/>
      </w:pPr>
    </w:lvl>
    <w:lvl w:ilvl="5">
      <w:numFmt w:val="bullet"/>
      <w:lvlText w:val="•"/>
      <w:lvlJc w:val="left"/>
      <w:pPr>
        <w:ind w:left="5616" w:hanging="227"/>
      </w:pPr>
    </w:lvl>
    <w:lvl w:ilvl="6">
      <w:numFmt w:val="bullet"/>
      <w:lvlText w:val="•"/>
      <w:lvlJc w:val="left"/>
      <w:pPr>
        <w:ind w:left="6310" w:hanging="227"/>
      </w:pPr>
    </w:lvl>
    <w:lvl w:ilvl="7">
      <w:numFmt w:val="bullet"/>
      <w:lvlText w:val="•"/>
      <w:lvlJc w:val="left"/>
      <w:pPr>
        <w:ind w:left="7004" w:hanging="227"/>
      </w:pPr>
    </w:lvl>
    <w:lvl w:ilvl="8">
      <w:numFmt w:val="bullet"/>
      <w:lvlText w:val="•"/>
      <w:lvlJc w:val="left"/>
      <w:pPr>
        <w:ind w:left="7698" w:hanging="227"/>
      </w:pPr>
    </w:lvl>
  </w:abstractNum>
  <w:abstractNum w:abstractNumId="1">
    <w:nsid w:val="00000403"/>
    <w:multiLevelType w:val="multilevel"/>
    <w:tmpl w:val="00000886"/>
    <w:lvl w:ilvl="0">
      <w:numFmt w:val="bullet"/>
      <w:lvlText w:val="•"/>
      <w:lvlJc w:val="left"/>
      <w:pPr>
        <w:ind w:left="2148" w:hanging="227"/>
      </w:pPr>
      <w:rPr>
        <w:rFonts w:ascii="Calibri" w:hAnsi="Calibri" w:cs="Calibri"/>
        <w:b w:val="0"/>
        <w:bCs w:val="0"/>
        <w:color w:val="231F20"/>
        <w:sz w:val="22"/>
        <w:szCs w:val="22"/>
      </w:rPr>
    </w:lvl>
    <w:lvl w:ilvl="1">
      <w:numFmt w:val="bullet"/>
      <w:lvlText w:val="•"/>
      <w:lvlJc w:val="left"/>
      <w:pPr>
        <w:ind w:left="2841" w:hanging="227"/>
      </w:pPr>
    </w:lvl>
    <w:lvl w:ilvl="2">
      <w:numFmt w:val="bullet"/>
      <w:lvlText w:val="•"/>
      <w:lvlJc w:val="left"/>
      <w:pPr>
        <w:ind w:left="3535" w:hanging="227"/>
      </w:pPr>
    </w:lvl>
    <w:lvl w:ilvl="3">
      <w:numFmt w:val="bullet"/>
      <w:lvlText w:val="•"/>
      <w:lvlJc w:val="left"/>
      <w:pPr>
        <w:ind w:left="4229" w:hanging="227"/>
      </w:pPr>
    </w:lvl>
    <w:lvl w:ilvl="4">
      <w:numFmt w:val="bullet"/>
      <w:lvlText w:val="•"/>
      <w:lvlJc w:val="left"/>
      <w:pPr>
        <w:ind w:left="4923" w:hanging="227"/>
      </w:pPr>
    </w:lvl>
    <w:lvl w:ilvl="5">
      <w:numFmt w:val="bullet"/>
      <w:lvlText w:val="•"/>
      <w:lvlJc w:val="left"/>
      <w:pPr>
        <w:ind w:left="5616" w:hanging="227"/>
      </w:pPr>
    </w:lvl>
    <w:lvl w:ilvl="6">
      <w:numFmt w:val="bullet"/>
      <w:lvlText w:val="•"/>
      <w:lvlJc w:val="left"/>
      <w:pPr>
        <w:ind w:left="6310" w:hanging="227"/>
      </w:pPr>
    </w:lvl>
    <w:lvl w:ilvl="7">
      <w:numFmt w:val="bullet"/>
      <w:lvlText w:val="•"/>
      <w:lvlJc w:val="left"/>
      <w:pPr>
        <w:ind w:left="7004" w:hanging="227"/>
      </w:pPr>
    </w:lvl>
    <w:lvl w:ilvl="8">
      <w:numFmt w:val="bullet"/>
      <w:lvlText w:val="•"/>
      <w:lvlJc w:val="left"/>
      <w:pPr>
        <w:ind w:left="7698" w:hanging="227"/>
      </w:pPr>
    </w:lvl>
  </w:abstractNum>
  <w:abstractNum w:abstractNumId="2">
    <w:nsid w:val="00000404"/>
    <w:multiLevelType w:val="multilevel"/>
    <w:tmpl w:val="00000887"/>
    <w:lvl w:ilvl="0">
      <w:numFmt w:val="bullet"/>
      <w:lvlText w:val="•"/>
      <w:lvlJc w:val="left"/>
      <w:pPr>
        <w:ind w:left="2148" w:hanging="227"/>
      </w:pPr>
      <w:rPr>
        <w:rFonts w:ascii="Calibri" w:hAnsi="Calibri" w:cs="Calibri"/>
        <w:b w:val="0"/>
        <w:bCs w:val="0"/>
        <w:color w:val="231F20"/>
        <w:sz w:val="22"/>
        <w:szCs w:val="22"/>
      </w:rPr>
    </w:lvl>
    <w:lvl w:ilvl="1">
      <w:numFmt w:val="bullet"/>
      <w:lvlText w:val="•"/>
      <w:lvlJc w:val="left"/>
      <w:pPr>
        <w:ind w:left="2841" w:hanging="227"/>
      </w:pPr>
    </w:lvl>
    <w:lvl w:ilvl="2">
      <w:numFmt w:val="bullet"/>
      <w:lvlText w:val="•"/>
      <w:lvlJc w:val="left"/>
      <w:pPr>
        <w:ind w:left="3535" w:hanging="227"/>
      </w:pPr>
    </w:lvl>
    <w:lvl w:ilvl="3">
      <w:numFmt w:val="bullet"/>
      <w:lvlText w:val="•"/>
      <w:lvlJc w:val="left"/>
      <w:pPr>
        <w:ind w:left="4229" w:hanging="227"/>
      </w:pPr>
    </w:lvl>
    <w:lvl w:ilvl="4">
      <w:numFmt w:val="bullet"/>
      <w:lvlText w:val="•"/>
      <w:lvlJc w:val="left"/>
      <w:pPr>
        <w:ind w:left="4923" w:hanging="227"/>
      </w:pPr>
    </w:lvl>
    <w:lvl w:ilvl="5">
      <w:numFmt w:val="bullet"/>
      <w:lvlText w:val="•"/>
      <w:lvlJc w:val="left"/>
      <w:pPr>
        <w:ind w:left="5616" w:hanging="227"/>
      </w:pPr>
    </w:lvl>
    <w:lvl w:ilvl="6">
      <w:numFmt w:val="bullet"/>
      <w:lvlText w:val="•"/>
      <w:lvlJc w:val="left"/>
      <w:pPr>
        <w:ind w:left="6310" w:hanging="227"/>
      </w:pPr>
    </w:lvl>
    <w:lvl w:ilvl="7">
      <w:numFmt w:val="bullet"/>
      <w:lvlText w:val="•"/>
      <w:lvlJc w:val="left"/>
      <w:pPr>
        <w:ind w:left="7004" w:hanging="227"/>
      </w:pPr>
    </w:lvl>
    <w:lvl w:ilvl="8">
      <w:numFmt w:val="bullet"/>
      <w:lvlText w:val="•"/>
      <w:lvlJc w:val="left"/>
      <w:pPr>
        <w:ind w:left="7698" w:hanging="227"/>
      </w:pPr>
    </w:lvl>
  </w:abstractNum>
  <w:abstractNum w:abstractNumId="3">
    <w:nsid w:val="00000405"/>
    <w:multiLevelType w:val="multilevel"/>
    <w:tmpl w:val="00000888"/>
    <w:lvl w:ilvl="0">
      <w:numFmt w:val="bullet"/>
      <w:lvlText w:val="•"/>
      <w:lvlJc w:val="left"/>
      <w:pPr>
        <w:ind w:left="2148" w:hanging="227"/>
      </w:pPr>
      <w:rPr>
        <w:rFonts w:ascii="Calibri" w:hAnsi="Calibri" w:cs="Calibri"/>
        <w:b w:val="0"/>
        <w:bCs w:val="0"/>
        <w:color w:val="231F20"/>
        <w:sz w:val="22"/>
        <w:szCs w:val="22"/>
      </w:rPr>
    </w:lvl>
    <w:lvl w:ilvl="1">
      <w:numFmt w:val="bullet"/>
      <w:lvlText w:val="•"/>
      <w:lvlJc w:val="left"/>
      <w:pPr>
        <w:ind w:left="2841" w:hanging="227"/>
      </w:pPr>
    </w:lvl>
    <w:lvl w:ilvl="2">
      <w:numFmt w:val="bullet"/>
      <w:lvlText w:val="•"/>
      <w:lvlJc w:val="left"/>
      <w:pPr>
        <w:ind w:left="3535" w:hanging="227"/>
      </w:pPr>
    </w:lvl>
    <w:lvl w:ilvl="3">
      <w:numFmt w:val="bullet"/>
      <w:lvlText w:val="•"/>
      <w:lvlJc w:val="left"/>
      <w:pPr>
        <w:ind w:left="4229" w:hanging="227"/>
      </w:pPr>
    </w:lvl>
    <w:lvl w:ilvl="4">
      <w:numFmt w:val="bullet"/>
      <w:lvlText w:val="•"/>
      <w:lvlJc w:val="left"/>
      <w:pPr>
        <w:ind w:left="4923" w:hanging="227"/>
      </w:pPr>
    </w:lvl>
    <w:lvl w:ilvl="5">
      <w:numFmt w:val="bullet"/>
      <w:lvlText w:val="•"/>
      <w:lvlJc w:val="left"/>
      <w:pPr>
        <w:ind w:left="5616" w:hanging="227"/>
      </w:pPr>
    </w:lvl>
    <w:lvl w:ilvl="6">
      <w:numFmt w:val="bullet"/>
      <w:lvlText w:val="•"/>
      <w:lvlJc w:val="left"/>
      <w:pPr>
        <w:ind w:left="6310" w:hanging="227"/>
      </w:pPr>
    </w:lvl>
    <w:lvl w:ilvl="7">
      <w:numFmt w:val="bullet"/>
      <w:lvlText w:val="•"/>
      <w:lvlJc w:val="left"/>
      <w:pPr>
        <w:ind w:left="7004" w:hanging="227"/>
      </w:pPr>
    </w:lvl>
    <w:lvl w:ilvl="8">
      <w:numFmt w:val="bullet"/>
      <w:lvlText w:val="•"/>
      <w:lvlJc w:val="left"/>
      <w:pPr>
        <w:ind w:left="7698" w:hanging="227"/>
      </w:pPr>
    </w:lvl>
  </w:abstractNum>
  <w:abstractNum w:abstractNumId="4">
    <w:nsid w:val="00000406"/>
    <w:multiLevelType w:val="multilevel"/>
    <w:tmpl w:val="00000889"/>
    <w:lvl w:ilvl="0">
      <w:numFmt w:val="bullet"/>
      <w:lvlText w:val="•"/>
      <w:lvlJc w:val="left"/>
      <w:pPr>
        <w:ind w:left="226" w:hanging="227"/>
      </w:pPr>
      <w:rPr>
        <w:rFonts w:ascii="Calibri" w:hAnsi="Calibri" w:cs="Calibri"/>
        <w:b w:val="0"/>
        <w:bCs w:val="0"/>
        <w:color w:val="231F20"/>
        <w:sz w:val="22"/>
        <w:szCs w:val="22"/>
      </w:rPr>
    </w:lvl>
    <w:lvl w:ilvl="1">
      <w:numFmt w:val="bullet"/>
      <w:lvlText w:val="•"/>
      <w:lvlJc w:val="left"/>
      <w:pPr>
        <w:ind w:left="484" w:hanging="227"/>
      </w:pPr>
    </w:lvl>
    <w:lvl w:ilvl="2">
      <w:numFmt w:val="bullet"/>
      <w:lvlText w:val="•"/>
      <w:lvlJc w:val="left"/>
      <w:pPr>
        <w:ind w:left="742" w:hanging="227"/>
      </w:pPr>
    </w:lvl>
    <w:lvl w:ilvl="3">
      <w:numFmt w:val="bullet"/>
      <w:lvlText w:val="•"/>
      <w:lvlJc w:val="left"/>
      <w:pPr>
        <w:ind w:left="1000" w:hanging="227"/>
      </w:pPr>
    </w:lvl>
    <w:lvl w:ilvl="4">
      <w:numFmt w:val="bullet"/>
      <w:lvlText w:val="•"/>
      <w:lvlJc w:val="left"/>
      <w:pPr>
        <w:ind w:left="1258" w:hanging="227"/>
      </w:pPr>
    </w:lvl>
    <w:lvl w:ilvl="5">
      <w:numFmt w:val="bullet"/>
      <w:lvlText w:val="•"/>
      <w:lvlJc w:val="left"/>
      <w:pPr>
        <w:ind w:left="1516" w:hanging="227"/>
      </w:pPr>
    </w:lvl>
    <w:lvl w:ilvl="6">
      <w:numFmt w:val="bullet"/>
      <w:lvlText w:val="•"/>
      <w:lvlJc w:val="left"/>
      <w:pPr>
        <w:ind w:left="1774" w:hanging="227"/>
      </w:pPr>
    </w:lvl>
    <w:lvl w:ilvl="7">
      <w:numFmt w:val="bullet"/>
      <w:lvlText w:val="•"/>
      <w:lvlJc w:val="left"/>
      <w:pPr>
        <w:ind w:left="2032" w:hanging="227"/>
      </w:pPr>
    </w:lvl>
    <w:lvl w:ilvl="8">
      <w:numFmt w:val="bullet"/>
      <w:lvlText w:val="•"/>
      <w:lvlJc w:val="left"/>
      <w:pPr>
        <w:ind w:left="2290" w:hanging="227"/>
      </w:pPr>
    </w:lvl>
  </w:abstractNum>
  <w:abstractNum w:abstractNumId="5">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6DD0112"/>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8">
    <w:nsid w:val="29166171"/>
    <w:multiLevelType w:val="hybridMultilevel"/>
    <w:tmpl w:val="9E8250CC"/>
    <w:lvl w:ilvl="0" w:tplc="6B36634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5D3784"/>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B6351"/>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9280E"/>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C4E4D"/>
    <w:multiLevelType w:val="multilevel"/>
    <w:tmpl w:val="32A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808C0"/>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382C13"/>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6">
    <w:nsid w:val="6D2E557B"/>
    <w:multiLevelType w:val="multilevel"/>
    <w:tmpl w:val="483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5"/>
  </w:num>
  <w:num w:numId="4">
    <w:abstractNumId w:val="8"/>
  </w:num>
  <w:num w:numId="5">
    <w:abstractNumId w:val="16"/>
  </w:num>
  <w:num w:numId="6">
    <w:abstractNumId w:val="12"/>
  </w:num>
  <w:num w:numId="7">
    <w:abstractNumId w:val="9"/>
  </w:num>
  <w:num w:numId="8">
    <w:abstractNumId w:val="6"/>
  </w:num>
  <w:num w:numId="9">
    <w:abstractNumId w:val="11"/>
  </w:num>
  <w:num w:numId="10">
    <w:abstractNumId w:val="13"/>
  </w:num>
  <w:num w:numId="11">
    <w:abstractNumId w:val="10"/>
  </w:num>
  <w:num w:numId="12">
    <w:abstractNumId w:val="14"/>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52D7F"/>
    <w:rsid w:val="000E4EE4"/>
    <w:rsid w:val="000F033A"/>
    <w:rsid w:val="000F6BF6"/>
    <w:rsid w:val="00100C63"/>
    <w:rsid w:val="001304AB"/>
    <w:rsid w:val="001C4899"/>
    <w:rsid w:val="002421C4"/>
    <w:rsid w:val="00302064"/>
    <w:rsid w:val="00306616"/>
    <w:rsid w:val="00322F0F"/>
    <w:rsid w:val="00505450"/>
    <w:rsid w:val="0068732C"/>
    <w:rsid w:val="006A77A1"/>
    <w:rsid w:val="006C0B1A"/>
    <w:rsid w:val="006D24AA"/>
    <w:rsid w:val="007D4C26"/>
    <w:rsid w:val="00841604"/>
    <w:rsid w:val="0084587F"/>
    <w:rsid w:val="00B509E7"/>
    <w:rsid w:val="00CA353A"/>
    <w:rsid w:val="00E11BF3"/>
    <w:rsid w:val="00E758A7"/>
    <w:rsid w:val="00F0063D"/>
    <w:rsid w:val="00FA7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paragraph" w:styleId="Heading1">
    <w:name w:val="heading 1"/>
    <w:basedOn w:val="Normal"/>
    <w:next w:val="Normal"/>
    <w:link w:val="Heading1Char"/>
    <w:uiPriority w:val="1"/>
    <w:qFormat/>
    <w:rsid w:val="00505450"/>
    <w:pPr>
      <w:autoSpaceDE w:val="0"/>
      <w:autoSpaceDN w:val="0"/>
      <w:adjustRightInd w:val="0"/>
      <w:spacing w:before="11" w:after="0" w:line="240" w:lineRule="auto"/>
      <w:ind w:left="40"/>
      <w:outlineLvl w:val="0"/>
    </w:pPr>
    <w:rPr>
      <w:rFonts w:ascii="Calibri" w:eastAsiaTheme="minorHAnsi" w:hAnsi="Calibri" w:cs="Calibr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apple-converted-space">
    <w:name w:val="apple-converted-space"/>
    <w:basedOn w:val="DefaultParagraphFont"/>
    <w:rsid w:val="00841604"/>
  </w:style>
  <w:style w:type="character" w:customStyle="1" w:styleId="ref">
    <w:name w:val="ref"/>
    <w:basedOn w:val="DefaultParagraphFont"/>
    <w:rsid w:val="00841604"/>
  </w:style>
  <w:style w:type="character" w:customStyle="1" w:styleId="mn">
    <w:name w:val="mn"/>
    <w:basedOn w:val="DefaultParagraphFont"/>
    <w:rsid w:val="00841604"/>
  </w:style>
  <w:style w:type="character" w:customStyle="1" w:styleId="mo">
    <w:name w:val="mo"/>
    <w:basedOn w:val="DefaultParagraphFont"/>
    <w:rsid w:val="00841604"/>
  </w:style>
  <w:style w:type="character" w:customStyle="1" w:styleId="mi">
    <w:name w:val="mi"/>
    <w:basedOn w:val="DefaultParagraphFont"/>
    <w:rsid w:val="00841604"/>
  </w:style>
  <w:style w:type="character" w:customStyle="1" w:styleId="Heading1Char">
    <w:name w:val="Heading 1 Char"/>
    <w:basedOn w:val="DefaultParagraphFont"/>
    <w:link w:val="Heading1"/>
    <w:uiPriority w:val="1"/>
    <w:rsid w:val="00505450"/>
    <w:rPr>
      <w:rFonts w:ascii="Calibri" w:hAnsi="Calibri" w:cs="Calibri"/>
      <w:sz w:val="28"/>
      <w:szCs w:val="28"/>
    </w:rPr>
  </w:style>
  <w:style w:type="paragraph" w:styleId="BodyText">
    <w:name w:val="Body Text"/>
    <w:basedOn w:val="Normal"/>
    <w:link w:val="BodyTextChar"/>
    <w:uiPriority w:val="1"/>
    <w:qFormat/>
    <w:rsid w:val="00505450"/>
    <w:pPr>
      <w:autoSpaceDE w:val="0"/>
      <w:autoSpaceDN w:val="0"/>
      <w:adjustRightInd w:val="0"/>
      <w:spacing w:before="165" w:after="0" w:line="240" w:lineRule="auto"/>
      <w:ind w:left="2148" w:hanging="227"/>
    </w:pPr>
    <w:rPr>
      <w:rFonts w:ascii="Calibri" w:eastAsiaTheme="minorHAnsi" w:hAnsi="Calibri" w:cs="Calibri"/>
      <w:lang w:eastAsia="en-US"/>
    </w:rPr>
  </w:style>
  <w:style w:type="character" w:customStyle="1" w:styleId="BodyTextChar">
    <w:name w:val="Body Text Char"/>
    <w:basedOn w:val="DefaultParagraphFont"/>
    <w:link w:val="BodyText"/>
    <w:uiPriority w:val="1"/>
    <w:rsid w:val="0050545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paragraph" w:styleId="Heading1">
    <w:name w:val="heading 1"/>
    <w:basedOn w:val="Normal"/>
    <w:next w:val="Normal"/>
    <w:link w:val="Heading1Char"/>
    <w:uiPriority w:val="1"/>
    <w:qFormat/>
    <w:rsid w:val="00505450"/>
    <w:pPr>
      <w:autoSpaceDE w:val="0"/>
      <w:autoSpaceDN w:val="0"/>
      <w:adjustRightInd w:val="0"/>
      <w:spacing w:before="11" w:after="0" w:line="240" w:lineRule="auto"/>
      <w:ind w:left="40"/>
      <w:outlineLvl w:val="0"/>
    </w:pPr>
    <w:rPr>
      <w:rFonts w:ascii="Calibri" w:eastAsiaTheme="minorHAnsi" w:hAnsi="Calibri" w:cs="Calibr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character" w:customStyle="1" w:styleId="apple-converted-space">
    <w:name w:val="apple-converted-space"/>
    <w:basedOn w:val="DefaultParagraphFont"/>
    <w:rsid w:val="00841604"/>
  </w:style>
  <w:style w:type="character" w:customStyle="1" w:styleId="ref">
    <w:name w:val="ref"/>
    <w:basedOn w:val="DefaultParagraphFont"/>
    <w:rsid w:val="00841604"/>
  </w:style>
  <w:style w:type="character" w:customStyle="1" w:styleId="mn">
    <w:name w:val="mn"/>
    <w:basedOn w:val="DefaultParagraphFont"/>
    <w:rsid w:val="00841604"/>
  </w:style>
  <w:style w:type="character" w:customStyle="1" w:styleId="mo">
    <w:name w:val="mo"/>
    <w:basedOn w:val="DefaultParagraphFont"/>
    <w:rsid w:val="00841604"/>
  </w:style>
  <w:style w:type="character" w:customStyle="1" w:styleId="mi">
    <w:name w:val="mi"/>
    <w:basedOn w:val="DefaultParagraphFont"/>
    <w:rsid w:val="00841604"/>
  </w:style>
  <w:style w:type="character" w:customStyle="1" w:styleId="Heading1Char">
    <w:name w:val="Heading 1 Char"/>
    <w:basedOn w:val="DefaultParagraphFont"/>
    <w:link w:val="Heading1"/>
    <w:uiPriority w:val="1"/>
    <w:rsid w:val="00505450"/>
    <w:rPr>
      <w:rFonts w:ascii="Calibri" w:hAnsi="Calibri" w:cs="Calibri"/>
      <w:sz w:val="28"/>
      <w:szCs w:val="28"/>
    </w:rPr>
  </w:style>
  <w:style w:type="paragraph" w:styleId="BodyText">
    <w:name w:val="Body Text"/>
    <w:basedOn w:val="Normal"/>
    <w:link w:val="BodyTextChar"/>
    <w:uiPriority w:val="1"/>
    <w:qFormat/>
    <w:rsid w:val="00505450"/>
    <w:pPr>
      <w:autoSpaceDE w:val="0"/>
      <w:autoSpaceDN w:val="0"/>
      <w:adjustRightInd w:val="0"/>
      <w:spacing w:before="165" w:after="0" w:line="240" w:lineRule="auto"/>
      <w:ind w:left="2148" w:hanging="227"/>
    </w:pPr>
    <w:rPr>
      <w:rFonts w:ascii="Calibri" w:eastAsiaTheme="minorHAnsi" w:hAnsi="Calibri" w:cs="Calibri"/>
      <w:lang w:eastAsia="en-US"/>
    </w:rPr>
  </w:style>
  <w:style w:type="character" w:customStyle="1" w:styleId="BodyTextChar">
    <w:name w:val="Body Text Char"/>
    <w:basedOn w:val="DefaultParagraphFont"/>
    <w:link w:val="BodyText"/>
    <w:uiPriority w:val="1"/>
    <w:rsid w:val="0050545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8748">
      <w:bodyDiv w:val="1"/>
      <w:marLeft w:val="0"/>
      <w:marRight w:val="0"/>
      <w:marTop w:val="0"/>
      <w:marBottom w:val="0"/>
      <w:divBdr>
        <w:top w:val="none" w:sz="0" w:space="0" w:color="auto"/>
        <w:left w:val="none" w:sz="0" w:space="0" w:color="auto"/>
        <w:bottom w:val="none" w:sz="0" w:space="0" w:color="auto"/>
        <w:right w:val="none" w:sz="0" w:space="0" w:color="auto"/>
      </w:divBdr>
    </w:div>
    <w:div w:id="1731539466">
      <w:bodyDiv w:val="1"/>
      <w:marLeft w:val="0"/>
      <w:marRight w:val="0"/>
      <w:marTop w:val="0"/>
      <w:marBottom w:val="0"/>
      <w:divBdr>
        <w:top w:val="none" w:sz="0" w:space="0" w:color="auto"/>
        <w:left w:val="none" w:sz="0" w:space="0" w:color="auto"/>
        <w:bottom w:val="none" w:sz="0" w:space="0" w:color="auto"/>
        <w:right w:val="none" w:sz="0" w:space="0" w:color="auto"/>
      </w:divBdr>
    </w:div>
    <w:div w:id="18319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llabus.bostes.nsw.edu.au/glossary/mat/numeral/?ajax" TargetMode="External"/><Relationship Id="rId13" Type="http://schemas.openxmlformats.org/officeDocument/2006/relationships/hyperlink" Target="https://syllabus.bostes.nsw.edu.au/glossary/mat/denominator/?ajax" TargetMode="External"/><Relationship Id="rId18" Type="http://schemas.openxmlformats.org/officeDocument/2006/relationships/hyperlink" Target="https://syllabus.bostes.nsw.edu.au/glossary/mat/percentage/?ajax"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hyperlink" Target="https://syllabus.bostes.nsw.edu.au/glossary/mat/fraction/?ajax" TargetMode="External"/><Relationship Id="rId12" Type="http://schemas.openxmlformats.org/officeDocument/2006/relationships/hyperlink" Target="https://syllabus.bostes.nsw.edu.au/glossary/mat/equivalent-fractions/?ajax" TargetMode="External"/><Relationship Id="rId17" Type="http://schemas.openxmlformats.org/officeDocument/2006/relationships/hyperlink" Target="https://syllabus.bostes.nsw.edu.au/glossary/mat/whole-number/?ajax"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yllabus.bostes.nsw.edu.au/glossary/mat/multiple/?ajax"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syllabus.bostes.nsw.edu.au/glossary/mat/highest-common-factor/?aja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yllabus.bostes.nsw.edu.au/glossary/mat/number-line/?ajax" TargetMode="External"/><Relationship Id="rId14" Type="http://schemas.openxmlformats.org/officeDocument/2006/relationships/hyperlink" Target="https://syllabus.bostes.nsw.edu.au/glossary/mat/operation/?ajax"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13</cp:revision>
  <cp:lastPrinted>2016-01-27T21:48:00Z</cp:lastPrinted>
  <dcterms:created xsi:type="dcterms:W3CDTF">2016-05-02T04:35:00Z</dcterms:created>
  <dcterms:modified xsi:type="dcterms:W3CDTF">2016-09-12T05:35:00Z</dcterms:modified>
</cp:coreProperties>
</file>