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Look w:val="04A0" w:firstRow="1" w:lastRow="0" w:firstColumn="1" w:lastColumn="0" w:noHBand="0" w:noVBand="1"/>
      </w:tblPr>
      <w:tblGrid>
        <w:gridCol w:w="15616"/>
      </w:tblGrid>
      <w:tr w:rsidR="003E55E4" w:rsidRPr="005F2515" w14:paraId="3315628E" w14:textId="77777777" w:rsidTr="003E55E4">
        <w:trPr>
          <w:trHeight w:val="161"/>
          <w:jc w:val="center"/>
        </w:trPr>
        <w:tc>
          <w:tcPr>
            <w:tcW w:w="5000" w:type="pct"/>
            <w:shd w:val="clear" w:color="auto" w:fill="33CCFF"/>
          </w:tcPr>
          <w:p w14:paraId="7289FF55" w14:textId="77777777" w:rsidR="003E55E4" w:rsidRPr="005F2515" w:rsidRDefault="003E55E4" w:rsidP="003E55E4">
            <w:pPr>
              <w:spacing w:after="0" w:line="240" w:lineRule="auto"/>
              <w:ind w:right="-450"/>
              <w:rPr>
                <w:rFonts w:asciiTheme="majorHAnsi" w:hAnsiTheme="majorHAnsi"/>
                <w:b/>
                <w:sz w:val="28"/>
                <w:szCs w:val="28"/>
              </w:rPr>
            </w:pPr>
            <w:bookmarkStart w:id="0" w:name="_GoBack"/>
            <w:bookmarkEnd w:id="0"/>
            <w:r w:rsidRPr="005F2515">
              <w:rPr>
                <w:rFonts w:asciiTheme="majorHAnsi" w:hAnsiTheme="majorHAnsi"/>
                <w:b/>
                <w:sz w:val="28"/>
                <w:szCs w:val="28"/>
              </w:rPr>
              <w:t xml:space="preserve">Campbell House School                              </w:t>
            </w:r>
            <w:r>
              <w:rPr>
                <w:rFonts w:asciiTheme="majorHAnsi" w:hAnsiTheme="majorHAnsi"/>
                <w:b/>
                <w:sz w:val="28"/>
                <w:szCs w:val="28"/>
              </w:rPr>
              <w:t xml:space="preserve">        </w:t>
            </w:r>
            <w:r w:rsidRPr="005F2515">
              <w:rPr>
                <w:rFonts w:asciiTheme="majorHAnsi" w:hAnsiTheme="majorHAnsi"/>
                <w:b/>
                <w:sz w:val="28"/>
                <w:szCs w:val="28"/>
              </w:rPr>
              <w:t xml:space="preserve">    The Elements of Learning and Achievement</w:t>
            </w:r>
          </w:p>
        </w:tc>
      </w:tr>
    </w:tbl>
    <w:p w14:paraId="5672B308" w14:textId="77777777" w:rsidR="003E55E4" w:rsidRPr="003E55E4" w:rsidRDefault="003E55E4" w:rsidP="003E55E4">
      <w:pPr>
        <w:spacing w:after="0"/>
        <w:ind w:left="-900" w:hanging="540"/>
        <w:jc w:val="center"/>
        <w:rPr>
          <w:rFonts w:asciiTheme="majorHAnsi" w:hAnsiTheme="majorHAnsi"/>
          <w:color w:val="FFFFFF" w:themeColor="background1"/>
          <w:sz w:val="10"/>
        </w:rPr>
      </w:pPr>
    </w:p>
    <w:tbl>
      <w:tblPr>
        <w:tblStyle w:val="TableGrid"/>
        <w:tblW w:w="5000" w:type="pct"/>
        <w:jc w:val="center"/>
        <w:tblLook w:val="04A0" w:firstRow="1" w:lastRow="0" w:firstColumn="1" w:lastColumn="0" w:noHBand="0" w:noVBand="1"/>
      </w:tblPr>
      <w:tblGrid>
        <w:gridCol w:w="5237"/>
        <w:gridCol w:w="5516"/>
        <w:gridCol w:w="4863"/>
      </w:tblGrid>
      <w:tr w:rsidR="003E55E4" w:rsidRPr="005F2515" w14:paraId="2DD488F6" w14:textId="77777777" w:rsidTr="003E55E4">
        <w:trPr>
          <w:jc w:val="center"/>
        </w:trPr>
        <w:tc>
          <w:tcPr>
            <w:tcW w:w="1677" w:type="pct"/>
            <w:shd w:val="clear" w:color="auto" w:fill="FF2F32"/>
          </w:tcPr>
          <w:p w14:paraId="094B24C2" w14:textId="77777777" w:rsidR="003E55E4" w:rsidRPr="005F2515" w:rsidRDefault="003E55E4" w:rsidP="003E55E4">
            <w:pPr>
              <w:spacing w:after="0"/>
              <w:jc w:val="center"/>
              <w:rPr>
                <w:rFonts w:asciiTheme="majorHAnsi" w:hAnsiTheme="majorHAnsi"/>
                <w:b/>
                <w:color w:val="FFFFFF" w:themeColor="background1"/>
              </w:rPr>
            </w:pPr>
            <w:r w:rsidRPr="005F2515">
              <w:rPr>
                <w:rFonts w:asciiTheme="majorHAnsi" w:hAnsiTheme="majorHAnsi"/>
                <w:b/>
                <w:color w:val="FFFFFF" w:themeColor="background1"/>
              </w:rPr>
              <w:t>NU</w:t>
            </w:r>
            <w:r>
              <w:rPr>
                <w:rFonts w:asciiTheme="majorHAnsi" w:hAnsiTheme="majorHAnsi"/>
                <w:b/>
                <w:color w:val="FFFFFF" w:themeColor="background1"/>
              </w:rPr>
              <w:t>R</w:t>
            </w:r>
            <w:r w:rsidRPr="005F2515">
              <w:rPr>
                <w:rFonts w:asciiTheme="majorHAnsi" w:hAnsiTheme="majorHAnsi"/>
                <w:b/>
                <w:color w:val="FFFFFF" w:themeColor="background1"/>
              </w:rPr>
              <w:t>TURE SUCCESSFUL LEARNERS</w:t>
            </w:r>
          </w:p>
          <w:p w14:paraId="22CDDAB4" w14:textId="77777777" w:rsidR="003E55E4" w:rsidRPr="005F2515" w:rsidRDefault="003E55E4" w:rsidP="003E55E4">
            <w:pPr>
              <w:spacing w:after="0"/>
              <w:jc w:val="center"/>
              <w:rPr>
                <w:rFonts w:asciiTheme="majorHAnsi" w:hAnsiTheme="majorHAnsi"/>
                <w:color w:val="FFFFFF" w:themeColor="background1"/>
              </w:rPr>
            </w:pPr>
            <w:r w:rsidRPr="005F2515">
              <w:rPr>
                <w:rFonts w:asciiTheme="majorHAnsi" w:hAnsiTheme="majorHAnsi"/>
                <w:color w:val="FFFFFF" w:themeColor="background1"/>
              </w:rPr>
              <w:t>CREATIVE VISION</w:t>
            </w:r>
          </w:p>
        </w:tc>
        <w:tc>
          <w:tcPr>
            <w:tcW w:w="1766" w:type="pct"/>
            <w:shd w:val="clear" w:color="auto" w:fill="3366FF"/>
          </w:tcPr>
          <w:p w14:paraId="4E4BF605" w14:textId="77777777" w:rsidR="003E55E4" w:rsidRPr="005F2515" w:rsidRDefault="003E55E4" w:rsidP="003E55E4">
            <w:pPr>
              <w:spacing w:after="0"/>
              <w:jc w:val="center"/>
              <w:rPr>
                <w:rFonts w:asciiTheme="majorHAnsi" w:hAnsiTheme="majorHAnsi"/>
                <w:b/>
                <w:color w:val="FFFFFF" w:themeColor="background1"/>
              </w:rPr>
            </w:pPr>
            <w:r w:rsidRPr="005F2515">
              <w:rPr>
                <w:rFonts w:asciiTheme="majorHAnsi" w:hAnsiTheme="majorHAnsi"/>
                <w:b/>
                <w:color w:val="FFFFFF" w:themeColor="background1"/>
              </w:rPr>
              <w:t>PROFESSIONAL CULTURE</w:t>
            </w:r>
          </w:p>
          <w:p w14:paraId="5329F45C" w14:textId="77777777" w:rsidR="003E55E4" w:rsidRPr="005F2515" w:rsidRDefault="003E55E4" w:rsidP="003E55E4">
            <w:pPr>
              <w:spacing w:after="0"/>
              <w:jc w:val="center"/>
              <w:rPr>
                <w:rFonts w:asciiTheme="majorHAnsi" w:hAnsiTheme="majorHAnsi"/>
                <w:color w:val="FFFFFF" w:themeColor="background1"/>
              </w:rPr>
            </w:pPr>
            <w:r w:rsidRPr="005F2515">
              <w:rPr>
                <w:rFonts w:asciiTheme="majorHAnsi" w:hAnsiTheme="majorHAnsi"/>
                <w:color w:val="FFFFFF" w:themeColor="background1"/>
              </w:rPr>
              <w:t>CONSISTENT PRACTICE</w:t>
            </w:r>
          </w:p>
        </w:tc>
        <w:tc>
          <w:tcPr>
            <w:tcW w:w="1557" w:type="pct"/>
            <w:shd w:val="clear" w:color="auto" w:fill="8F008F"/>
          </w:tcPr>
          <w:p w14:paraId="0B903F66" w14:textId="77777777" w:rsidR="003E55E4" w:rsidRPr="005F2515" w:rsidRDefault="003E55E4" w:rsidP="003E55E4">
            <w:pPr>
              <w:spacing w:after="0"/>
              <w:jc w:val="center"/>
              <w:rPr>
                <w:rFonts w:asciiTheme="majorHAnsi" w:hAnsiTheme="majorHAnsi"/>
                <w:b/>
                <w:color w:val="FFFFFF" w:themeColor="background1"/>
              </w:rPr>
            </w:pPr>
            <w:r w:rsidRPr="005F2515">
              <w:rPr>
                <w:rFonts w:asciiTheme="majorHAnsi" w:hAnsiTheme="majorHAnsi"/>
                <w:b/>
                <w:color w:val="FFFFFF" w:themeColor="background1"/>
              </w:rPr>
              <w:t>POSITIVE RELATIONSHIPS</w:t>
            </w:r>
          </w:p>
          <w:p w14:paraId="37DCD497" w14:textId="77777777" w:rsidR="003E55E4" w:rsidRPr="005F2515" w:rsidRDefault="003E55E4" w:rsidP="003E55E4">
            <w:pPr>
              <w:spacing w:after="0"/>
              <w:jc w:val="center"/>
              <w:rPr>
                <w:rFonts w:asciiTheme="majorHAnsi" w:hAnsiTheme="majorHAnsi"/>
                <w:color w:val="FFFFFF" w:themeColor="background1"/>
              </w:rPr>
            </w:pPr>
            <w:r w:rsidRPr="005F2515">
              <w:rPr>
                <w:rFonts w:asciiTheme="majorHAnsi" w:hAnsiTheme="majorHAnsi"/>
                <w:color w:val="FFFFFF" w:themeColor="background1"/>
              </w:rPr>
              <w:t>SHARED VISION</w:t>
            </w:r>
          </w:p>
        </w:tc>
      </w:tr>
    </w:tbl>
    <w:p w14:paraId="4D97129E" w14:textId="77777777" w:rsidR="003E55E4" w:rsidRPr="003E55E4" w:rsidRDefault="003E55E4" w:rsidP="003E55E4">
      <w:pPr>
        <w:spacing w:after="0"/>
        <w:jc w:val="center"/>
        <w:rPr>
          <w:sz w:val="10"/>
        </w:rPr>
      </w:pPr>
    </w:p>
    <w:tbl>
      <w:tblPr>
        <w:tblStyle w:val="TableGrid"/>
        <w:tblW w:w="5000" w:type="pct"/>
        <w:jc w:val="center"/>
        <w:tblLook w:val="04A0" w:firstRow="1" w:lastRow="0" w:firstColumn="1" w:lastColumn="0" w:noHBand="0" w:noVBand="1"/>
      </w:tblPr>
      <w:tblGrid>
        <w:gridCol w:w="2271"/>
        <w:gridCol w:w="1615"/>
        <w:gridCol w:w="2039"/>
        <w:gridCol w:w="2036"/>
        <w:gridCol w:w="1524"/>
        <w:gridCol w:w="1983"/>
        <w:gridCol w:w="2271"/>
        <w:gridCol w:w="1877"/>
      </w:tblGrid>
      <w:tr w:rsidR="003E55E4" w14:paraId="55D9B10E" w14:textId="77777777" w:rsidTr="003E55E4">
        <w:trPr>
          <w:trHeight w:val="818"/>
          <w:jc w:val="center"/>
        </w:trPr>
        <w:tc>
          <w:tcPr>
            <w:tcW w:w="727" w:type="pct"/>
            <w:shd w:val="clear" w:color="auto" w:fill="99CCFF"/>
          </w:tcPr>
          <w:p w14:paraId="37B21BA7" w14:textId="77777777" w:rsidR="003E55E4" w:rsidRPr="00311044" w:rsidRDefault="003E55E4" w:rsidP="003E55E4">
            <w:pPr>
              <w:spacing w:after="0"/>
              <w:rPr>
                <w:b/>
                <w:sz w:val="20"/>
                <w:szCs w:val="20"/>
              </w:rPr>
            </w:pPr>
            <w:r>
              <w:rPr>
                <w:b/>
                <w:sz w:val="20"/>
                <w:szCs w:val="20"/>
              </w:rPr>
              <w:t>SCHOOL EXCELLENCE FRAMEWORK</w:t>
            </w:r>
          </w:p>
        </w:tc>
        <w:tc>
          <w:tcPr>
            <w:tcW w:w="517" w:type="pct"/>
            <w:shd w:val="clear" w:color="auto" w:fill="99CCFF"/>
          </w:tcPr>
          <w:p w14:paraId="46DBB0DB" w14:textId="77777777" w:rsidR="003E55E4" w:rsidRPr="00311044" w:rsidRDefault="003E55E4" w:rsidP="003E55E4">
            <w:pPr>
              <w:spacing w:after="0"/>
              <w:rPr>
                <w:b/>
                <w:sz w:val="20"/>
                <w:szCs w:val="20"/>
              </w:rPr>
            </w:pPr>
            <w:r>
              <w:rPr>
                <w:b/>
                <w:sz w:val="20"/>
                <w:szCs w:val="20"/>
              </w:rPr>
              <w:t>WELLBEING FRAMEWORK</w:t>
            </w:r>
          </w:p>
        </w:tc>
        <w:tc>
          <w:tcPr>
            <w:tcW w:w="653" w:type="pct"/>
            <w:shd w:val="clear" w:color="auto" w:fill="99CCFF"/>
          </w:tcPr>
          <w:p w14:paraId="751C9D91" w14:textId="77777777" w:rsidR="003E55E4" w:rsidRPr="00311044" w:rsidRDefault="003E55E4" w:rsidP="003E55E4">
            <w:pPr>
              <w:spacing w:after="0"/>
              <w:rPr>
                <w:b/>
                <w:sz w:val="20"/>
                <w:szCs w:val="20"/>
              </w:rPr>
            </w:pPr>
            <w:r>
              <w:rPr>
                <w:b/>
                <w:sz w:val="20"/>
                <w:szCs w:val="20"/>
              </w:rPr>
              <w:t>GREAT TEACHING, INSPIRED LEARNING</w:t>
            </w:r>
          </w:p>
        </w:tc>
        <w:tc>
          <w:tcPr>
            <w:tcW w:w="652" w:type="pct"/>
            <w:shd w:val="clear" w:color="auto" w:fill="99CCFF"/>
          </w:tcPr>
          <w:p w14:paraId="65D5C5F9" w14:textId="77777777" w:rsidR="003E55E4" w:rsidRPr="00311044" w:rsidRDefault="003E55E4" w:rsidP="003E55E4">
            <w:pPr>
              <w:spacing w:after="0"/>
              <w:rPr>
                <w:b/>
                <w:sz w:val="20"/>
                <w:szCs w:val="20"/>
              </w:rPr>
            </w:pPr>
            <w:r>
              <w:rPr>
                <w:b/>
                <w:sz w:val="20"/>
                <w:szCs w:val="20"/>
              </w:rPr>
              <w:t>EVERY STUDENT, EVERY SCHOOL</w:t>
            </w:r>
          </w:p>
        </w:tc>
        <w:tc>
          <w:tcPr>
            <w:tcW w:w="488" w:type="pct"/>
            <w:shd w:val="clear" w:color="auto" w:fill="99CCFF"/>
          </w:tcPr>
          <w:p w14:paraId="5518DCDD" w14:textId="77777777" w:rsidR="003E55E4" w:rsidRPr="00311044" w:rsidRDefault="003E55E4" w:rsidP="003E55E4">
            <w:pPr>
              <w:spacing w:after="0"/>
              <w:rPr>
                <w:b/>
                <w:sz w:val="20"/>
                <w:szCs w:val="20"/>
              </w:rPr>
            </w:pPr>
            <w:r>
              <w:rPr>
                <w:b/>
                <w:sz w:val="20"/>
                <w:szCs w:val="20"/>
              </w:rPr>
              <w:t>ABORIGINAL EDUCATION</w:t>
            </w:r>
          </w:p>
        </w:tc>
        <w:tc>
          <w:tcPr>
            <w:tcW w:w="635" w:type="pct"/>
            <w:shd w:val="clear" w:color="auto" w:fill="99CCFF"/>
          </w:tcPr>
          <w:p w14:paraId="35DDEA58" w14:textId="77777777" w:rsidR="003E55E4" w:rsidRPr="00311044" w:rsidRDefault="003E55E4" w:rsidP="003E55E4">
            <w:pPr>
              <w:spacing w:after="0"/>
              <w:rPr>
                <w:b/>
                <w:sz w:val="20"/>
                <w:szCs w:val="20"/>
              </w:rPr>
            </w:pPr>
            <w:r>
              <w:rPr>
                <w:b/>
                <w:sz w:val="20"/>
                <w:szCs w:val="20"/>
              </w:rPr>
              <w:t>TRANSITION SCHOOL TO COMMUNITY</w:t>
            </w:r>
          </w:p>
        </w:tc>
        <w:tc>
          <w:tcPr>
            <w:tcW w:w="727" w:type="pct"/>
            <w:shd w:val="clear" w:color="auto" w:fill="99CCFF"/>
          </w:tcPr>
          <w:p w14:paraId="1D740691" w14:textId="77777777" w:rsidR="003E55E4" w:rsidRPr="00311044" w:rsidRDefault="003E55E4" w:rsidP="003E55E4">
            <w:pPr>
              <w:spacing w:after="0"/>
              <w:rPr>
                <w:b/>
                <w:sz w:val="20"/>
                <w:szCs w:val="20"/>
              </w:rPr>
            </w:pPr>
            <w:r>
              <w:rPr>
                <w:b/>
                <w:sz w:val="20"/>
                <w:szCs w:val="20"/>
              </w:rPr>
              <w:t>LITERACY &amp; NUMERACY CONTINUUMS</w:t>
            </w:r>
          </w:p>
        </w:tc>
        <w:tc>
          <w:tcPr>
            <w:tcW w:w="601" w:type="pct"/>
            <w:shd w:val="clear" w:color="auto" w:fill="99CCFF"/>
          </w:tcPr>
          <w:p w14:paraId="072C9EED" w14:textId="77777777" w:rsidR="003E55E4" w:rsidRPr="00311044" w:rsidRDefault="003E55E4" w:rsidP="003E55E4">
            <w:pPr>
              <w:spacing w:after="0"/>
              <w:rPr>
                <w:b/>
                <w:sz w:val="20"/>
                <w:szCs w:val="20"/>
              </w:rPr>
            </w:pPr>
            <w:r>
              <w:rPr>
                <w:b/>
                <w:sz w:val="20"/>
                <w:szCs w:val="20"/>
              </w:rPr>
              <w:t>LOCAL SCHOOLS, LOCAL DECISIONS</w:t>
            </w:r>
          </w:p>
        </w:tc>
      </w:tr>
    </w:tbl>
    <w:p w14:paraId="1B6A4074" w14:textId="77777777" w:rsidR="003E55E4" w:rsidRPr="004854AC" w:rsidRDefault="003E55E4" w:rsidP="003E55E4">
      <w:pPr>
        <w:spacing w:after="0"/>
        <w:jc w:val="center"/>
        <w:rPr>
          <w:sz w:val="12"/>
        </w:rPr>
      </w:pPr>
    </w:p>
    <w:tbl>
      <w:tblPr>
        <w:tblStyle w:val="TableGrid"/>
        <w:tblW w:w="5000" w:type="pct"/>
        <w:jc w:val="center"/>
        <w:tblLook w:val="04A0" w:firstRow="1" w:lastRow="0" w:firstColumn="1" w:lastColumn="0" w:noHBand="0" w:noVBand="1"/>
      </w:tblPr>
      <w:tblGrid>
        <w:gridCol w:w="2204"/>
        <w:gridCol w:w="2298"/>
        <w:gridCol w:w="2299"/>
        <w:gridCol w:w="2299"/>
        <w:gridCol w:w="2299"/>
        <w:gridCol w:w="2299"/>
        <w:gridCol w:w="1918"/>
      </w:tblGrid>
      <w:tr w:rsidR="003E55E4" w:rsidRPr="004854AC" w14:paraId="24329C31" w14:textId="77777777" w:rsidTr="003E55E4">
        <w:trPr>
          <w:trHeight w:val="90"/>
          <w:jc w:val="center"/>
        </w:trPr>
        <w:tc>
          <w:tcPr>
            <w:tcW w:w="5000" w:type="pct"/>
            <w:gridSpan w:val="7"/>
            <w:tcBorders>
              <w:bottom w:val="single" w:sz="4" w:space="0" w:color="auto"/>
            </w:tcBorders>
            <w:shd w:val="clear" w:color="auto" w:fill="33CCFF"/>
            <w:vAlign w:val="center"/>
          </w:tcPr>
          <w:p w14:paraId="563757DD" w14:textId="77777777" w:rsidR="003E55E4" w:rsidRPr="004854AC" w:rsidRDefault="003E55E4" w:rsidP="003E55E4">
            <w:pPr>
              <w:spacing w:after="0" w:line="240" w:lineRule="auto"/>
              <w:ind w:right="-450"/>
              <w:jc w:val="center"/>
              <w:rPr>
                <w:rFonts w:asciiTheme="majorHAnsi" w:hAnsiTheme="majorHAnsi"/>
                <w:b/>
                <w:sz w:val="28"/>
                <w:szCs w:val="28"/>
              </w:rPr>
            </w:pPr>
            <w:r w:rsidRPr="004854AC">
              <w:rPr>
                <w:rFonts w:asciiTheme="majorHAnsi" w:hAnsiTheme="majorHAnsi"/>
                <w:b/>
                <w:sz w:val="28"/>
                <w:szCs w:val="28"/>
              </w:rPr>
              <w:t>POSITIVE EDUCATION</w:t>
            </w:r>
          </w:p>
        </w:tc>
      </w:tr>
      <w:tr w:rsidR="003E55E4" w:rsidRPr="004854AC" w14:paraId="1C50BDC6" w14:textId="77777777" w:rsidTr="003E55E4">
        <w:trPr>
          <w:trHeight w:val="79"/>
          <w:jc w:val="center"/>
        </w:trPr>
        <w:tc>
          <w:tcPr>
            <w:tcW w:w="5000" w:type="pct"/>
            <w:gridSpan w:val="7"/>
            <w:tcBorders>
              <w:top w:val="single" w:sz="4" w:space="0" w:color="auto"/>
              <w:left w:val="nil"/>
              <w:bottom w:val="single" w:sz="4" w:space="0" w:color="auto"/>
              <w:right w:val="nil"/>
            </w:tcBorders>
            <w:shd w:val="clear" w:color="auto" w:fill="auto"/>
          </w:tcPr>
          <w:p w14:paraId="449ED4A6" w14:textId="77777777" w:rsidR="003E55E4" w:rsidRPr="003E55E4" w:rsidRDefault="003E55E4" w:rsidP="003E55E4">
            <w:pPr>
              <w:spacing w:after="0"/>
              <w:jc w:val="center"/>
              <w:rPr>
                <w:rFonts w:asciiTheme="majorHAnsi" w:hAnsiTheme="majorHAnsi"/>
                <w:b/>
                <w:sz w:val="10"/>
                <w:szCs w:val="20"/>
              </w:rPr>
            </w:pPr>
          </w:p>
        </w:tc>
      </w:tr>
      <w:tr w:rsidR="003E55E4" w:rsidRPr="004854AC" w14:paraId="1CD61779" w14:textId="77777777" w:rsidTr="003E55E4">
        <w:trPr>
          <w:trHeight w:val="194"/>
          <w:jc w:val="center"/>
        </w:trPr>
        <w:tc>
          <w:tcPr>
            <w:tcW w:w="5000" w:type="pct"/>
            <w:gridSpan w:val="7"/>
            <w:tcBorders>
              <w:bottom w:val="single" w:sz="4" w:space="0" w:color="auto"/>
            </w:tcBorders>
            <w:shd w:val="clear" w:color="auto" w:fill="99CCFF"/>
            <w:vAlign w:val="center"/>
          </w:tcPr>
          <w:p w14:paraId="608D03C2" w14:textId="77777777" w:rsidR="003E55E4" w:rsidRPr="003E55E4" w:rsidRDefault="003E55E4" w:rsidP="003E55E4">
            <w:pPr>
              <w:spacing w:after="0" w:line="240" w:lineRule="auto"/>
              <w:jc w:val="center"/>
              <w:rPr>
                <w:rFonts w:asciiTheme="majorHAnsi" w:hAnsiTheme="majorHAnsi"/>
                <w:b/>
                <w:sz w:val="20"/>
                <w:szCs w:val="20"/>
              </w:rPr>
            </w:pPr>
            <w:r w:rsidRPr="003E55E4">
              <w:rPr>
                <w:rFonts w:asciiTheme="majorHAnsi" w:hAnsiTheme="majorHAnsi"/>
                <w:b/>
                <w:sz w:val="20"/>
                <w:szCs w:val="20"/>
              </w:rPr>
              <w:t>AUSTRALIAN CURRICULUM : GENERAL CAPABILITIES</w:t>
            </w:r>
          </w:p>
        </w:tc>
      </w:tr>
      <w:tr w:rsidR="003E55E4" w:rsidRPr="004854AC" w14:paraId="3335AA0F" w14:textId="77777777" w:rsidTr="003E55E4">
        <w:trPr>
          <w:jc w:val="center"/>
        </w:trPr>
        <w:tc>
          <w:tcPr>
            <w:tcW w:w="706" w:type="pct"/>
            <w:shd w:val="clear" w:color="auto" w:fill="99CCFF"/>
          </w:tcPr>
          <w:p w14:paraId="5C4F494F" w14:textId="77777777" w:rsidR="003E55E4" w:rsidRPr="004854AC" w:rsidRDefault="003E55E4" w:rsidP="003E55E4">
            <w:pPr>
              <w:spacing w:after="0"/>
              <w:jc w:val="center"/>
              <w:rPr>
                <w:rFonts w:asciiTheme="majorHAnsi" w:hAnsiTheme="majorHAnsi"/>
              </w:rPr>
            </w:pPr>
            <w:r w:rsidRPr="004854AC">
              <w:rPr>
                <w:rFonts w:asciiTheme="majorHAnsi" w:hAnsiTheme="majorHAnsi"/>
              </w:rPr>
              <w:t>Literacy</w:t>
            </w:r>
          </w:p>
        </w:tc>
        <w:tc>
          <w:tcPr>
            <w:tcW w:w="736" w:type="pct"/>
            <w:shd w:val="clear" w:color="auto" w:fill="99CCFF"/>
          </w:tcPr>
          <w:p w14:paraId="68BC390F" w14:textId="77777777" w:rsidR="003E55E4" w:rsidRPr="004854AC" w:rsidRDefault="003E55E4" w:rsidP="003E55E4">
            <w:pPr>
              <w:spacing w:after="0"/>
              <w:jc w:val="center"/>
              <w:rPr>
                <w:rFonts w:asciiTheme="majorHAnsi" w:hAnsiTheme="majorHAnsi"/>
              </w:rPr>
            </w:pPr>
            <w:r w:rsidRPr="004854AC">
              <w:rPr>
                <w:rFonts w:asciiTheme="majorHAnsi" w:hAnsiTheme="majorHAnsi"/>
              </w:rPr>
              <w:t>Numeracy</w:t>
            </w:r>
          </w:p>
        </w:tc>
        <w:tc>
          <w:tcPr>
            <w:tcW w:w="736" w:type="pct"/>
            <w:shd w:val="clear" w:color="auto" w:fill="99CCFF"/>
          </w:tcPr>
          <w:p w14:paraId="17E5DABB" w14:textId="77777777" w:rsidR="003E55E4" w:rsidRPr="004854AC" w:rsidRDefault="003E55E4" w:rsidP="003E55E4">
            <w:pPr>
              <w:spacing w:after="0" w:line="240" w:lineRule="auto"/>
              <w:jc w:val="center"/>
              <w:rPr>
                <w:rFonts w:asciiTheme="majorHAnsi" w:hAnsiTheme="majorHAnsi"/>
              </w:rPr>
            </w:pPr>
            <w:r w:rsidRPr="004854AC">
              <w:rPr>
                <w:rFonts w:asciiTheme="majorHAnsi" w:hAnsiTheme="majorHAnsi"/>
              </w:rPr>
              <w:t>Critical and Creative Thinking</w:t>
            </w:r>
          </w:p>
        </w:tc>
        <w:tc>
          <w:tcPr>
            <w:tcW w:w="736" w:type="pct"/>
            <w:shd w:val="clear" w:color="auto" w:fill="99CCFF"/>
          </w:tcPr>
          <w:p w14:paraId="6804E916" w14:textId="77777777" w:rsidR="003E55E4" w:rsidRPr="004854AC" w:rsidRDefault="003E55E4" w:rsidP="003E55E4">
            <w:pPr>
              <w:spacing w:after="0" w:line="240" w:lineRule="auto"/>
              <w:jc w:val="center"/>
              <w:rPr>
                <w:rFonts w:asciiTheme="majorHAnsi" w:hAnsiTheme="majorHAnsi"/>
              </w:rPr>
            </w:pPr>
            <w:r w:rsidRPr="004854AC">
              <w:rPr>
                <w:rFonts w:asciiTheme="majorHAnsi" w:hAnsiTheme="majorHAnsi"/>
              </w:rPr>
              <w:t>Personal and Social Capability</w:t>
            </w:r>
          </w:p>
        </w:tc>
        <w:tc>
          <w:tcPr>
            <w:tcW w:w="736" w:type="pct"/>
            <w:shd w:val="clear" w:color="auto" w:fill="99CCFF"/>
          </w:tcPr>
          <w:p w14:paraId="1F6ED0D4" w14:textId="77777777" w:rsidR="003E55E4" w:rsidRPr="004854AC" w:rsidRDefault="003E55E4" w:rsidP="003E55E4">
            <w:pPr>
              <w:spacing w:after="0" w:line="240" w:lineRule="auto"/>
              <w:jc w:val="center"/>
              <w:rPr>
                <w:rFonts w:asciiTheme="majorHAnsi" w:hAnsiTheme="majorHAnsi"/>
              </w:rPr>
            </w:pPr>
            <w:r w:rsidRPr="004854AC">
              <w:rPr>
                <w:rFonts w:asciiTheme="majorHAnsi" w:hAnsiTheme="majorHAnsi"/>
              </w:rPr>
              <w:t>Ethical Understanding</w:t>
            </w:r>
          </w:p>
        </w:tc>
        <w:tc>
          <w:tcPr>
            <w:tcW w:w="736" w:type="pct"/>
            <w:shd w:val="clear" w:color="auto" w:fill="99CCFF"/>
          </w:tcPr>
          <w:p w14:paraId="794E14B4" w14:textId="77777777" w:rsidR="003E55E4" w:rsidRPr="004854AC" w:rsidRDefault="003E55E4" w:rsidP="003E55E4">
            <w:pPr>
              <w:spacing w:after="0" w:line="240" w:lineRule="auto"/>
              <w:jc w:val="center"/>
              <w:rPr>
                <w:rFonts w:asciiTheme="majorHAnsi" w:hAnsiTheme="majorHAnsi"/>
              </w:rPr>
            </w:pPr>
            <w:r w:rsidRPr="004854AC">
              <w:rPr>
                <w:rFonts w:asciiTheme="majorHAnsi" w:hAnsiTheme="majorHAnsi"/>
              </w:rPr>
              <w:t>ICT Capability</w:t>
            </w:r>
          </w:p>
        </w:tc>
        <w:tc>
          <w:tcPr>
            <w:tcW w:w="616" w:type="pct"/>
            <w:shd w:val="clear" w:color="auto" w:fill="99CCFF"/>
          </w:tcPr>
          <w:p w14:paraId="437D265E" w14:textId="77777777" w:rsidR="003E55E4" w:rsidRPr="004854AC" w:rsidRDefault="003E55E4" w:rsidP="003E55E4">
            <w:pPr>
              <w:spacing w:after="0" w:line="240" w:lineRule="auto"/>
              <w:jc w:val="center"/>
              <w:rPr>
                <w:rFonts w:asciiTheme="majorHAnsi" w:hAnsiTheme="majorHAnsi"/>
              </w:rPr>
            </w:pPr>
            <w:r w:rsidRPr="004854AC">
              <w:rPr>
                <w:rFonts w:asciiTheme="majorHAnsi" w:hAnsiTheme="majorHAnsi"/>
              </w:rPr>
              <w:t>Intercultural Understanding</w:t>
            </w:r>
          </w:p>
        </w:tc>
      </w:tr>
    </w:tbl>
    <w:p w14:paraId="2CC9C6FC" w14:textId="77777777" w:rsidR="003E55E4" w:rsidRPr="003E55E4" w:rsidRDefault="003E55E4" w:rsidP="003E55E4">
      <w:pPr>
        <w:spacing w:after="0"/>
        <w:rPr>
          <w:sz w:val="10"/>
        </w:rPr>
      </w:pPr>
    </w:p>
    <w:tbl>
      <w:tblPr>
        <w:tblStyle w:val="TableGrid"/>
        <w:tblW w:w="5000" w:type="pct"/>
        <w:jc w:val="center"/>
        <w:tblLook w:val="04A0" w:firstRow="1" w:lastRow="0" w:firstColumn="1" w:lastColumn="0" w:noHBand="0" w:noVBand="1"/>
      </w:tblPr>
      <w:tblGrid>
        <w:gridCol w:w="2139"/>
        <w:gridCol w:w="2211"/>
        <w:gridCol w:w="2477"/>
        <w:gridCol w:w="2246"/>
        <w:gridCol w:w="2152"/>
        <w:gridCol w:w="2152"/>
        <w:gridCol w:w="2239"/>
      </w:tblGrid>
      <w:tr w:rsidR="003E55E4" w14:paraId="65249A20" w14:textId="77777777" w:rsidTr="003E55E4">
        <w:trPr>
          <w:jc w:val="center"/>
        </w:trPr>
        <w:tc>
          <w:tcPr>
            <w:tcW w:w="685" w:type="pct"/>
          </w:tcPr>
          <w:p w14:paraId="53E37A9A" w14:textId="77777777" w:rsidR="003E55E4" w:rsidRPr="009663BA" w:rsidRDefault="003E55E4" w:rsidP="003E55E4">
            <w:pPr>
              <w:spacing w:after="0"/>
              <w:jc w:val="center"/>
              <w:rPr>
                <w:b/>
                <w:color w:val="0000FF"/>
              </w:rPr>
            </w:pPr>
            <w:r w:rsidRPr="009663BA">
              <w:rPr>
                <w:b/>
                <w:color w:val="0000FF"/>
              </w:rPr>
              <w:t>Literacy</w:t>
            </w:r>
          </w:p>
          <w:p w14:paraId="58E3439B" w14:textId="77777777" w:rsidR="003E55E4" w:rsidRPr="00311044" w:rsidRDefault="003E55E4" w:rsidP="003E55E4">
            <w:pPr>
              <w:spacing w:after="0"/>
              <w:jc w:val="center"/>
              <w:rPr>
                <w:sz w:val="20"/>
                <w:szCs w:val="20"/>
              </w:rPr>
            </w:pPr>
            <w:r w:rsidRPr="00311044">
              <w:rPr>
                <w:noProof/>
                <w:sz w:val="20"/>
                <w:szCs w:val="20"/>
                <w:lang w:val="en-US" w:eastAsia="en-US"/>
              </w:rPr>
              <w:drawing>
                <wp:inline distT="0" distB="0" distL="0" distR="0" wp14:anchorId="33EF815F" wp14:editId="0642E3C5">
                  <wp:extent cx="561974" cy="495300"/>
                  <wp:effectExtent l="0" t="0" r="0" b="0"/>
                  <wp:docPr id="131" name="Picture 2" descr="F:\Mock ups\Square elements\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Literac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435" cy="493062"/>
                          </a:xfrm>
                          <a:prstGeom prst="rect">
                            <a:avLst/>
                          </a:prstGeom>
                          <a:noFill/>
                          <a:extLst/>
                        </pic:spPr>
                      </pic:pic>
                    </a:graphicData>
                  </a:graphic>
                </wp:inline>
              </w:drawing>
            </w:r>
          </w:p>
          <w:p w14:paraId="21A56D19" w14:textId="3753EED6" w:rsidR="003E55E4" w:rsidRPr="00311044" w:rsidRDefault="003E55E4" w:rsidP="003E55E4">
            <w:pPr>
              <w:spacing w:after="0"/>
              <w:jc w:val="center"/>
              <w:rPr>
                <w:color w:val="0000FF"/>
                <w:sz w:val="20"/>
                <w:szCs w:val="20"/>
              </w:rPr>
            </w:pPr>
            <w:r w:rsidRPr="00311044">
              <w:rPr>
                <w:color w:val="0000FF"/>
                <w:sz w:val="20"/>
                <w:szCs w:val="20"/>
              </w:rPr>
              <w:t xml:space="preserve">Reading, </w:t>
            </w:r>
            <w:r w:rsidR="00FA5885" w:rsidRPr="00311044">
              <w:rPr>
                <w:color w:val="0000FF"/>
                <w:sz w:val="20"/>
                <w:szCs w:val="20"/>
              </w:rPr>
              <w:t>Writing,</w:t>
            </w:r>
          </w:p>
          <w:p w14:paraId="62571F1D" w14:textId="77777777" w:rsidR="003E55E4" w:rsidRPr="00311044" w:rsidRDefault="003E55E4" w:rsidP="003E55E4">
            <w:pPr>
              <w:spacing w:after="0"/>
              <w:jc w:val="center"/>
              <w:rPr>
                <w:color w:val="0000FF"/>
                <w:sz w:val="20"/>
                <w:szCs w:val="20"/>
              </w:rPr>
            </w:pPr>
            <w:r w:rsidRPr="00311044">
              <w:rPr>
                <w:color w:val="0000FF"/>
                <w:sz w:val="20"/>
                <w:szCs w:val="20"/>
              </w:rPr>
              <w:t>Comprehension</w:t>
            </w:r>
          </w:p>
          <w:p w14:paraId="43517CDE" w14:textId="77777777" w:rsidR="003E55E4" w:rsidRDefault="003E55E4" w:rsidP="003E55E4">
            <w:pPr>
              <w:spacing w:after="0"/>
              <w:rPr>
                <w:sz w:val="20"/>
                <w:szCs w:val="20"/>
              </w:rPr>
            </w:pPr>
          </w:p>
          <w:p w14:paraId="2830289E" w14:textId="1F17C11F" w:rsidR="003E55E4" w:rsidRPr="00311044" w:rsidRDefault="003E55E4" w:rsidP="003E55E4">
            <w:pPr>
              <w:spacing w:after="0"/>
              <w:rPr>
                <w:sz w:val="20"/>
                <w:szCs w:val="20"/>
              </w:rPr>
            </w:pPr>
            <w:r w:rsidRPr="00311044">
              <w:rPr>
                <w:sz w:val="20"/>
                <w:szCs w:val="20"/>
              </w:rPr>
              <w:t xml:space="preserve">Literacy is a key priority at Campbell House School. Literacy is embedded across all key learning </w:t>
            </w:r>
            <w:r w:rsidR="00FA5885" w:rsidRPr="00311044">
              <w:rPr>
                <w:sz w:val="20"/>
                <w:szCs w:val="20"/>
              </w:rPr>
              <w:t>areas and</w:t>
            </w:r>
            <w:r w:rsidRPr="00311044">
              <w:rPr>
                <w:sz w:val="20"/>
                <w:szCs w:val="20"/>
              </w:rPr>
              <w:t xml:space="preserve"> is seen in the development of reading, writing and comprehension skills. Students are mapped on the continuum, gaps in learning identified and personal learning plans developed.</w:t>
            </w:r>
          </w:p>
          <w:p w14:paraId="5A92F250" w14:textId="77777777" w:rsidR="003E55E4" w:rsidRPr="00311044" w:rsidRDefault="003E55E4" w:rsidP="003E55E4">
            <w:pPr>
              <w:spacing w:after="0"/>
              <w:rPr>
                <w:sz w:val="20"/>
                <w:szCs w:val="20"/>
              </w:rPr>
            </w:pPr>
          </w:p>
        </w:tc>
        <w:tc>
          <w:tcPr>
            <w:tcW w:w="708" w:type="pct"/>
          </w:tcPr>
          <w:p w14:paraId="5266DAC0" w14:textId="77777777" w:rsidR="003E55E4" w:rsidRPr="009663BA" w:rsidRDefault="003E55E4" w:rsidP="003E55E4">
            <w:pPr>
              <w:spacing w:after="0"/>
              <w:jc w:val="center"/>
              <w:rPr>
                <w:b/>
                <w:color w:val="0000FF"/>
              </w:rPr>
            </w:pPr>
            <w:r w:rsidRPr="009663BA">
              <w:rPr>
                <w:b/>
                <w:color w:val="0000FF"/>
              </w:rPr>
              <w:t>Numeracy</w:t>
            </w:r>
          </w:p>
          <w:p w14:paraId="4EE2E2F9" w14:textId="77777777" w:rsidR="003E55E4" w:rsidRPr="00311044" w:rsidRDefault="003E55E4" w:rsidP="003E55E4">
            <w:pPr>
              <w:spacing w:after="0"/>
              <w:jc w:val="center"/>
              <w:rPr>
                <w:sz w:val="20"/>
                <w:szCs w:val="20"/>
              </w:rPr>
            </w:pPr>
            <w:r w:rsidRPr="00311044">
              <w:rPr>
                <w:noProof/>
                <w:sz w:val="20"/>
                <w:szCs w:val="20"/>
                <w:lang w:val="en-US" w:eastAsia="en-US"/>
              </w:rPr>
              <w:drawing>
                <wp:inline distT="0" distB="0" distL="0" distR="0" wp14:anchorId="4F28B044" wp14:editId="66FF0747">
                  <wp:extent cx="610235" cy="548640"/>
                  <wp:effectExtent l="0" t="0" r="0" b="10160"/>
                  <wp:docPr id="13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542" cy="557008"/>
                          </a:xfrm>
                          <a:prstGeom prst="rect">
                            <a:avLst/>
                          </a:prstGeom>
                          <a:noFill/>
                          <a:extLst/>
                        </pic:spPr>
                      </pic:pic>
                    </a:graphicData>
                  </a:graphic>
                </wp:inline>
              </w:drawing>
            </w:r>
          </w:p>
          <w:p w14:paraId="712A4185" w14:textId="77777777" w:rsidR="003E55E4" w:rsidRPr="00311044" w:rsidRDefault="003E55E4" w:rsidP="003E55E4">
            <w:pPr>
              <w:spacing w:after="0"/>
              <w:jc w:val="center"/>
              <w:rPr>
                <w:color w:val="0000FF"/>
                <w:sz w:val="20"/>
                <w:szCs w:val="20"/>
              </w:rPr>
            </w:pPr>
            <w:r w:rsidRPr="00311044">
              <w:rPr>
                <w:color w:val="0000FF"/>
                <w:sz w:val="20"/>
                <w:szCs w:val="20"/>
              </w:rPr>
              <w:t>Number and Maths</w:t>
            </w:r>
          </w:p>
          <w:p w14:paraId="7D208E10" w14:textId="77777777" w:rsidR="003E55E4" w:rsidRDefault="003E55E4" w:rsidP="003E55E4">
            <w:pPr>
              <w:spacing w:after="0"/>
              <w:rPr>
                <w:sz w:val="20"/>
                <w:szCs w:val="20"/>
              </w:rPr>
            </w:pPr>
          </w:p>
          <w:p w14:paraId="64F6FAAA" w14:textId="77777777" w:rsidR="003E55E4" w:rsidRPr="00311044" w:rsidRDefault="003E55E4" w:rsidP="003E55E4">
            <w:pPr>
              <w:spacing w:after="0"/>
              <w:rPr>
                <w:sz w:val="20"/>
                <w:szCs w:val="20"/>
              </w:rPr>
            </w:pPr>
            <w:r w:rsidRPr="00311044">
              <w:rPr>
                <w:sz w:val="20"/>
                <w:szCs w:val="20"/>
              </w:rPr>
              <w:t>Numeracy is a key priority at Campbell House School. Students are mapped along the continuum, gaps in learning identified and programs developed to support students learning needs.</w:t>
            </w:r>
          </w:p>
          <w:p w14:paraId="71FB3986" w14:textId="77777777" w:rsidR="003E55E4" w:rsidRPr="00311044" w:rsidRDefault="003E55E4" w:rsidP="003E55E4">
            <w:pPr>
              <w:spacing w:after="0"/>
              <w:rPr>
                <w:sz w:val="20"/>
                <w:szCs w:val="20"/>
              </w:rPr>
            </w:pPr>
            <w:r w:rsidRPr="00311044">
              <w:rPr>
                <w:sz w:val="20"/>
                <w:szCs w:val="20"/>
              </w:rPr>
              <w:t>Mathematics is taught at stage appropriate levels to meet BOSTES requirements and curriculum differentiated as required.</w:t>
            </w:r>
          </w:p>
          <w:p w14:paraId="4DDACDDA" w14:textId="77777777" w:rsidR="003E55E4" w:rsidRPr="00311044" w:rsidRDefault="003E55E4" w:rsidP="003E55E4">
            <w:pPr>
              <w:spacing w:after="0"/>
              <w:rPr>
                <w:sz w:val="20"/>
                <w:szCs w:val="20"/>
              </w:rPr>
            </w:pPr>
          </w:p>
        </w:tc>
        <w:tc>
          <w:tcPr>
            <w:tcW w:w="793" w:type="pct"/>
          </w:tcPr>
          <w:p w14:paraId="5E180DEB" w14:textId="77777777" w:rsidR="003E55E4" w:rsidRPr="009663BA" w:rsidRDefault="003E55E4" w:rsidP="003E55E4">
            <w:pPr>
              <w:spacing w:after="0"/>
              <w:jc w:val="center"/>
              <w:rPr>
                <w:b/>
                <w:color w:val="0000FF"/>
              </w:rPr>
            </w:pPr>
            <w:r w:rsidRPr="009663BA">
              <w:rPr>
                <w:b/>
                <w:color w:val="0000FF"/>
              </w:rPr>
              <w:t>Work Education</w:t>
            </w:r>
          </w:p>
          <w:p w14:paraId="5BDAD586" w14:textId="77777777" w:rsidR="003E55E4" w:rsidRPr="00311044" w:rsidRDefault="003E55E4" w:rsidP="003E55E4">
            <w:pPr>
              <w:spacing w:after="0"/>
              <w:jc w:val="center"/>
              <w:rPr>
                <w:sz w:val="20"/>
                <w:szCs w:val="20"/>
              </w:rPr>
            </w:pPr>
            <w:r>
              <w:rPr>
                <w:noProof/>
                <w:lang w:val="en-US" w:eastAsia="en-US"/>
              </w:rPr>
              <w:drawing>
                <wp:inline distT="0" distB="0" distL="0" distR="0" wp14:anchorId="60C7222E" wp14:editId="5277346C">
                  <wp:extent cx="501607" cy="495300"/>
                  <wp:effectExtent l="0" t="0" r="6985" b="0"/>
                  <wp:docPr id="133"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034" cy="495722"/>
                          </a:xfrm>
                          <a:prstGeom prst="rect">
                            <a:avLst/>
                          </a:prstGeom>
                          <a:noFill/>
                          <a:ln>
                            <a:noFill/>
                          </a:ln>
                        </pic:spPr>
                      </pic:pic>
                    </a:graphicData>
                  </a:graphic>
                </wp:inline>
              </w:drawing>
            </w:r>
          </w:p>
          <w:p w14:paraId="753E57C2" w14:textId="77777777" w:rsidR="003E55E4" w:rsidRPr="00311044" w:rsidRDefault="003E55E4" w:rsidP="003E55E4">
            <w:pPr>
              <w:spacing w:after="0"/>
              <w:jc w:val="center"/>
              <w:rPr>
                <w:color w:val="0000FF"/>
                <w:sz w:val="20"/>
                <w:szCs w:val="20"/>
              </w:rPr>
            </w:pPr>
            <w:r w:rsidRPr="00311044">
              <w:rPr>
                <w:color w:val="0000FF"/>
                <w:sz w:val="20"/>
                <w:szCs w:val="20"/>
              </w:rPr>
              <w:t xml:space="preserve">Work Readiness, </w:t>
            </w:r>
            <w:r>
              <w:rPr>
                <w:color w:val="0000FF"/>
                <w:sz w:val="20"/>
                <w:szCs w:val="20"/>
              </w:rPr>
              <w:t>Independent Living Skills</w:t>
            </w:r>
          </w:p>
          <w:p w14:paraId="73B9A4C2" w14:textId="77777777" w:rsidR="003E55E4" w:rsidRDefault="003E55E4" w:rsidP="003E55E4">
            <w:pPr>
              <w:spacing w:after="0"/>
              <w:rPr>
                <w:sz w:val="20"/>
                <w:szCs w:val="20"/>
              </w:rPr>
            </w:pPr>
          </w:p>
          <w:p w14:paraId="33F2AD46" w14:textId="11B3AB92" w:rsidR="003E55E4" w:rsidRPr="00311044" w:rsidRDefault="003E55E4" w:rsidP="003E55E4">
            <w:pPr>
              <w:spacing w:after="0"/>
              <w:rPr>
                <w:sz w:val="20"/>
                <w:szCs w:val="20"/>
              </w:rPr>
            </w:pPr>
            <w:r w:rsidRPr="00311044">
              <w:rPr>
                <w:sz w:val="20"/>
                <w:szCs w:val="20"/>
              </w:rPr>
              <w:t>Campbell House School promotes the importance and development of</w:t>
            </w:r>
            <w:r>
              <w:rPr>
                <w:sz w:val="20"/>
                <w:szCs w:val="20"/>
              </w:rPr>
              <w:t xml:space="preserve"> independent living and work skills,</w:t>
            </w:r>
            <w:r w:rsidRPr="00311044">
              <w:rPr>
                <w:sz w:val="20"/>
                <w:szCs w:val="20"/>
              </w:rPr>
              <w:t xml:space="preserve"> knowledge and a</w:t>
            </w:r>
            <w:r>
              <w:rPr>
                <w:sz w:val="20"/>
                <w:szCs w:val="20"/>
              </w:rPr>
              <w:t xml:space="preserve">ttitudes. Our focus is to develop confidence through living skills </w:t>
            </w:r>
            <w:r w:rsidR="00FA5885">
              <w:rPr>
                <w:sz w:val="20"/>
                <w:szCs w:val="20"/>
              </w:rPr>
              <w:t>and empowerment</w:t>
            </w:r>
            <w:r>
              <w:rPr>
                <w:sz w:val="20"/>
                <w:szCs w:val="20"/>
              </w:rPr>
              <w:t xml:space="preserve"> through </w:t>
            </w:r>
            <w:r w:rsidRPr="00311044">
              <w:rPr>
                <w:sz w:val="20"/>
                <w:szCs w:val="20"/>
              </w:rPr>
              <w:t xml:space="preserve">employability skills </w:t>
            </w:r>
            <w:r>
              <w:rPr>
                <w:sz w:val="20"/>
                <w:szCs w:val="20"/>
              </w:rPr>
              <w:t xml:space="preserve">to increase opportunities for employment. </w:t>
            </w:r>
            <w:r w:rsidRPr="00311044">
              <w:rPr>
                <w:sz w:val="20"/>
                <w:szCs w:val="20"/>
              </w:rPr>
              <w:t xml:space="preserve">Links to community agencies </w:t>
            </w:r>
            <w:r>
              <w:rPr>
                <w:sz w:val="20"/>
                <w:szCs w:val="20"/>
              </w:rPr>
              <w:t xml:space="preserve">will </w:t>
            </w:r>
            <w:r w:rsidRPr="00311044">
              <w:rPr>
                <w:sz w:val="20"/>
                <w:szCs w:val="20"/>
              </w:rPr>
              <w:t xml:space="preserve">provide opportunities </w:t>
            </w:r>
            <w:r w:rsidR="00FA5885" w:rsidRPr="00311044">
              <w:rPr>
                <w:sz w:val="20"/>
                <w:szCs w:val="20"/>
              </w:rPr>
              <w:t xml:space="preserve">for </w:t>
            </w:r>
            <w:r w:rsidR="00FA5885">
              <w:rPr>
                <w:sz w:val="20"/>
                <w:szCs w:val="20"/>
              </w:rPr>
              <w:t>continued</w:t>
            </w:r>
            <w:r>
              <w:rPr>
                <w:sz w:val="20"/>
                <w:szCs w:val="20"/>
              </w:rPr>
              <w:t xml:space="preserve"> </w:t>
            </w:r>
            <w:r w:rsidRPr="00311044">
              <w:rPr>
                <w:sz w:val="20"/>
                <w:szCs w:val="20"/>
              </w:rPr>
              <w:t>ongoing support post school.</w:t>
            </w:r>
          </w:p>
          <w:p w14:paraId="7FEE2793" w14:textId="77777777" w:rsidR="003E55E4" w:rsidRPr="00311044" w:rsidRDefault="003E55E4" w:rsidP="003E55E4">
            <w:pPr>
              <w:spacing w:after="0"/>
              <w:rPr>
                <w:sz w:val="20"/>
                <w:szCs w:val="20"/>
              </w:rPr>
            </w:pPr>
          </w:p>
        </w:tc>
        <w:tc>
          <w:tcPr>
            <w:tcW w:w="719" w:type="pct"/>
          </w:tcPr>
          <w:p w14:paraId="6E7127BD" w14:textId="77777777" w:rsidR="003E55E4" w:rsidRPr="009663BA" w:rsidRDefault="003E55E4" w:rsidP="003E55E4">
            <w:pPr>
              <w:spacing w:after="0"/>
              <w:jc w:val="center"/>
              <w:rPr>
                <w:b/>
                <w:color w:val="0000FF"/>
              </w:rPr>
            </w:pPr>
            <w:r w:rsidRPr="009663BA">
              <w:rPr>
                <w:b/>
                <w:color w:val="0000FF"/>
              </w:rPr>
              <w:t>Health and Wellbeing</w:t>
            </w:r>
          </w:p>
          <w:p w14:paraId="060E68E3" w14:textId="77777777" w:rsidR="003E55E4" w:rsidRPr="00311044" w:rsidRDefault="003E55E4" w:rsidP="003E55E4">
            <w:pPr>
              <w:spacing w:after="0"/>
              <w:jc w:val="center"/>
              <w:rPr>
                <w:sz w:val="20"/>
                <w:szCs w:val="20"/>
              </w:rPr>
            </w:pPr>
            <w:r w:rsidRPr="00311044">
              <w:rPr>
                <w:noProof/>
                <w:sz w:val="20"/>
                <w:szCs w:val="20"/>
                <w:lang w:val="en-US" w:eastAsia="en-US"/>
              </w:rPr>
              <w:drawing>
                <wp:inline distT="0" distB="0" distL="0" distR="0" wp14:anchorId="4222FAC9" wp14:editId="52FBCBE8">
                  <wp:extent cx="559435" cy="522807"/>
                  <wp:effectExtent l="0" t="0" r="0" b="10795"/>
                  <wp:docPr id="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0845" cy="542816"/>
                          </a:xfrm>
                          <a:prstGeom prst="rect">
                            <a:avLst/>
                          </a:prstGeom>
                          <a:noFill/>
                          <a:extLst/>
                        </pic:spPr>
                      </pic:pic>
                    </a:graphicData>
                  </a:graphic>
                </wp:inline>
              </w:drawing>
            </w:r>
          </w:p>
          <w:p w14:paraId="71DA7D3E" w14:textId="77777777" w:rsidR="003E55E4" w:rsidRPr="00311044" w:rsidRDefault="003E55E4" w:rsidP="003E55E4">
            <w:pPr>
              <w:spacing w:after="0"/>
              <w:jc w:val="center"/>
              <w:rPr>
                <w:color w:val="0000FF"/>
                <w:sz w:val="20"/>
                <w:szCs w:val="20"/>
              </w:rPr>
            </w:pPr>
            <w:r w:rsidRPr="00311044">
              <w:rPr>
                <w:color w:val="0000FF"/>
                <w:sz w:val="20"/>
                <w:szCs w:val="20"/>
              </w:rPr>
              <w:t>Fitness, Healthy Eating, Adolescent Health and Safety</w:t>
            </w:r>
          </w:p>
          <w:p w14:paraId="660396E0" w14:textId="77777777" w:rsidR="003E55E4" w:rsidRDefault="003E55E4" w:rsidP="003E55E4">
            <w:pPr>
              <w:spacing w:after="0"/>
              <w:rPr>
                <w:sz w:val="20"/>
                <w:szCs w:val="20"/>
              </w:rPr>
            </w:pPr>
          </w:p>
          <w:p w14:paraId="32C00A2F" w14:textId="77777777" w:rsidR="003E55E4" w:rsidRPr="00311044" w:rsidRDefault="00F96B88" w:rsidP="003E55E4">
            <w:pPr>
              <w:spacing w:after="0"/>
              <w:rPr>
                <w:sz w:val="20"/>
                <w:szCs w:val="20"/>
              </w:rPr>
            </w:pPr>
            <w:r>
              <w:rPr>
                <w:sz w:val="20"/>
                <w:szCs w:val="20"/>
              </w:rPr>
              <w:t>Students will develop an understanding of the many factors involved in self-care, health, wellbeing and making positive lifestyle choices in the community. Students will develop strategies through Positive Education to support their overall wellbeing in alignment with the Wellbeing Framework.</w:t>
            </w:r>
          </w:p>
          <w:p w14:paraId="0C537BC1" w14:textId="77777777" w:rsidR="003E55E4" w:rsidRPr="00311044" w:rsidRDefault="003E55E4" w:rsidP="003E55E4">
            <w:pPr>
              <w:spacing w:after="0"/>
              <w:rPr>
                <w:sz w:val="20"/>
                <w:szCs w:val="20"/>
              </w:rPr>
            </w:pPr>
          </w:p>
        </w:tc>
        <w:tc>
          <w:tcPr>
            <w:tcW w:w="689" w:type="pct"/>
          </w:tcPr>
          <w:p w14:paraId="79BF43F2" w14:textId="77777777" w:rsidR="003E55E4" w:rsidRPr="009663BA" w:rsidRDefault="003E55E4" w:rsidP="003E55E4">
            <w:pPr>
              <w:spacing w:after="0"/>
              <w:jc w:val="center"/>
              <w:rPr>
                <w:b/>
                <w:color w:val="0000FF"/>
              </w:rPr>
            </w:pPr>
            <w:r w:rsidRPr="009663BA">
              <w:rPr>
                <w:b/>
                <w:color w:val="0000FF"/>
              </w:rPr>
              <w:t>Actions and Choices</w:t>
            </w:r>
          </w:p>
          <w:p w14:paraId="399E9AE4" w14:textId="77777777" w:rsidR="003E55E4" w:rsidRPr="00311044" w:rsidRDefault="003E55E4" w:rsidP="003E55E4">
            <w:pPr>
              <w:spacing w:after="0"/>
              <w:jc w:val="center"/>
              <w:rPr>
                <w:sz w:val="20"/>
                <w:szCs w:val="20"/>
              </w:rPr>
            </w:pPr>
            <w:r w:rsidRPr="00311044">
              <w:rPr>
                <w:noProof/>
                <w:sz w:val="20"/>
                <w:szCs w:val="20"/>
                <w:lang w:val="en-US" w:eastAsia="en-US"/>
              </w:rPr>
              <w:drawing>
                <wp:inline distT="0" distB="0" distL="0" distR="0" wp14:anchorId="20CA69C9" wp14:editId="10490A15">
                  <wp:extent cx="559435" cy="497840"/>
                  <wp:effectExtent l="0" t="0" r="0" b="10160"/>
                  <wp:docPr id="136"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90" cy="500292"/>
                          </a:xfrm>
                          <a:prstGeom prst="rect">
                            <a:avLst/>
                          </a:prstGeom>
                          <a:noFill/>
                          <a:ln>
                            <a:noFill/>
                          </a:ln>
                        </pic:spPr>
                      </pic:pic>
                    </a:graphicData>
                  </a:graphic>
                </wp:inline>
              </w:drawing>
            </w:r>
          </w:p>
          <w:p w14:paraId="14A8FFF6" w14:textId="77777777" w:rsidR="003E55E4" w:rsidRPr="00311044" w:rsidRDefault="003E55E4" w:rsidP="003E55E4">
            <w:pPr>
              <w:spacing w:after="0"/>
              <w:jc w:val="center"/>
              <w:rPr>
                <w:color w:val="0000FF"/>
                <w:sz w:val="20"/>
                <w:szCs w:val="20"/>
              </w:rPr>
            </w:pPr>
            <w:r w:rsidRPr="00311044">
              <w:rPr>
                <w:color w:val="0000FF"/>
                <w:sz w:val="20"/>
                <w:szCs w:val="20"/>
              </w:rPr>
              <w:t>Pro- social skills, Positive Relationships, Restorative Practices</w:t>
            </w:r>
          </w:p>
          <w:p w14:paraId="32703FC2" w14:textId="77777777" w:rsidR="003E55E4" w:rsidRDefault="003E55E4" w:rsidP="003E55E4">
            <w:pPr>
              <w:spacing w:after="0"/>
              <w:rPr>
                <w:sz w:val="20"/>
                <w:szCs w:val="20"/>
              </w:rPr>
            </w:pPr>
          </w:p>
          <w:p w14:paraId="174AC295" w14:textId="77777777" w:rsidR="003E55E4" w:rsidRPr="00311044" w:rsidRDefault="003E55E4" w:rsidP="003E55E4">
            <w:pPr>
              <w:spacing w:after="0"/>
              <w:rPr>
                <w:sz w:val="20"/>
                <w:szCs w:val="20"/>
              </w:rPr>
            </w:pPr>
            <w:r w:rsidRPr="00311044">
              <w:rPr>
                <w:sz w:val="20"/>
                <w:szCs w:val="20"/>
              </w:rPr>
              <w:t>Students will develop the pro-social skills to become respectful, responsible and safe learners. Students will gain the ability to understand the impact of their behaviour on others and build positive relationships with all members of the school community.</w:t>
            </w:r>
          </w:p>
          <w:p w14:paraId="2A177E16" w14:textId="77777777" w:rsidR="003E55E4" w:rsidRPr="00311044" w:rsidRDefault="003E55E4" w:rsidP="003E55E4">
            <w:pPr>
              <w:spacing w:after="0"/>
              <w:rPr>
                <w:sz w:val="20"/>
                <w:szCs w:val="20"/>
              </w:rPr>
            </w:pPr>
          </w:p>
        </w:tc>
        <w:tc>
          <w:tcPr>
            <w:tcW w:w="689" w:type="pct"/>
          </w:tcPr>
          <w:p w14:paraId="624CCF0F" w14:textId="77777777" w:rsidR="003E55E4" w:rsidRPr="009663BA" w:rsidRDefault="003E55E4" w:rsidP="003E55E4">
            <w:pPr>
              <w:spacing w:after="0"/>
              <w:jc w:val="center"/>
              <w:rPr>
                <w:b/>
                <w:color w:val="0000FF"/>
              </w:rPr>
            </w:pPr>
            <w:r w:rsidRPr="009663BA">
              <w:rPr>
                <w:b/>
                <w:color w:val="0000FF"/>
              </w:rPr>
              <w:t>21</w:t>
            </w:r>
            <w:r w:rsidRPr="009663BA">
              <w:rPr>
                <w:b/>
                <w:color w:val="0000FF"/>
                <w:vertAlign w:val="superscript"/>
              </w:rPr>
              <w:t>st</w:t>
            </w:r>
            <w:r w:rsidRPr="009663BA">
              <w:rPr>
                <w:b/>
                <w:color w:val="0000FF"/>
              </w:rPr>
              <w:t xml:space="preserve"> Century Learner</w:t>
            </w:r>
          </w:p>
          <w:p w14:paraId="37B04DB6" w14:textId="77777777" w:rsidR="003E55E4" w:rsidRPr="00311044" w:rsidRDefault="003E55E4" w:rsidP="003E55E4">
            <w:pPr>
              <w:spacing w:after="0"/>
              <w:jc w:val="center"/>
              <w:rPr>
                <w:sz w:val="20"/>
                <w:szCs w:val="20"/>
              </w:rPr>
            </w:pPr>
            <w:r w:rsidRPr="00311044">
              <w:rPr>
                <w:noProof/>
                <w:sz w:val="20"/>
                <w:szCs w:val="20"/>
                <w:lang w:val="en-US" w:eastAsia="en-US"/>
              </w:rPr>
              <w:drawing>
                <wp:inline distT="0" distB="0" distL="0" distR="0" wp14:anchorId="5D1474BC" wp14:editId="74CF3778">
                  <wp:extent cx="495293" cy="497840"/>
                  <wp:effectExtent l="0" t="0" r="0" b="10160"/>
                  <wp:docPr id="13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497" cy="504076"/>
                          </a:xfrm>
                          <a:prstGeom prst="rect">
                            <a:avLst/>
                          </a:prstGeom>
                          <a:noFill/>
                          <a:extLst/>
                        </pic:spPr>
                      </pic:pic>
                    </a:graphicData>
                  </a:graphic>
                </wp:inline>
              </w:drawing>
            </w:r>
          </w:p>
          <w:p w14:paraId="01A2221A" w14:textId="77777777" w:rsidR="003E55E4" w:rsidRPr="00311044" w:rsidRDefault="003E55E4" w:rsidP="003E55E4">
            <w:pPr>
              <w:spacing w:after="0"/>
              <w:jc w:val="center"/>
              <w:rPr>
                <w:color w:val="0000FF"/>
                <w:sz w:val="20"/>
                <w:szCs w:val="20"/>
              </w:rPr>
            </w:pPr>
            <w:r w:rsidRPr="00311044">
              <w:rPr>
                <w:color w:val="0000FF"/>
                <w:sz w:val="20"/>
                <w:szCs w:val="20"/>
              </w:rPr>
              <w:t>Navigate Technology, Word Processing, Research Skills</w:t>
            </w:r>
          </w:p>
          <w:p w14:paraId="4402F0E6" w14:textId="77777777" w:rsidR="003E55E4" w:rsidRDefault="003E55E4" w:rsidP="003E55E4">
            <w:pPr>
              <w:spacing w:after="0"/>
              <w:rPr>
                <w:sz w:val="20"/>
                <w:szCs w:val="20"/>
              </w:rPr>
            </w:pPr>
          </w:p>
          <w:p w14:paraId="3FE07CE6" w14:textId="77777777" w:rsidR="003E55E4" w:rsidRPr="00311044" w:rsidRDefault="003E55E4" w:rsidP="003E55E4">
            <w:pPr>
              <w:spacing w:after="0"/>
              <w:rPr>
                <w:sz w:val="20"/>
                <w:szCs w:val="20"/>
              </w:rPr>
            </w:pPr>
            <w:r w:rsidRPr="00311044">
              <w:rPr>
                <w:sz w:val="20"/>
                <w:szCs w:val="20"/>
              </w:rPr>
              <w:t>As digital natives</w:t>
            </w:r>
            <w:r>
              <w:rPr>
                <w:sz w:val="20"/>
                <w:szCs w:val="20"/>
              </w:rPr>
              <w:t>,</w:t>
            </w:r>
            <w:r w:rsidRPr="00311044">
              <w:rPr>
                <w:sz w:val="20"/>
                <w:szCs w:val="20"/>
              </w:rPr>
              <w:t xml:space="preserve"> students at Campbell House School will consolidate their use of technology across a number of devices. Students will navigate technology, learn word processing skills, develop critical research</w:t>
            </w:r>
            <w:r>
              <w:rPr>
                <w:sz w:val="20"/>
                <w:szCs w:val="20"/>
              </w:rPr>
              <w:t xml:space="preserve"> skills, computer operation </w:t>
            </w:r>
            <w:r w:rsidRPr="00311044">
              <w:rPr>
                <w:sz w:val="20"/>
                <w:szCs w:val="20"/>
              </w:rPr>
              <w:t>and understand importance of positive uses of social media.</w:t>
            </w:r>
          </w:p>
        </w:tc>
        <w:tc>
          <w:tcPr>
            <w:tcW w:w="719" w:type="pct"/>
          </w:tcPr>
          <w:p w14:paraId="22246497" w14:textId="77777777" w:rsidR="003E55E4" w:rsidRPr="009663BA" w:rsidRDefault="003E55E4" w:rsidP="003E55E4">
            <w:pPr>
              <w:spacing w:after="0"/>
              <w:jc w:val="center"/>
              <w:rPr>
                <w:b/>
                <w:color w:val="0000FF"/>
              </w:rPr>
            </w:pPr>
            <w:r w:rsidRPr="009663BA">
              <w:rPr>
                <w:b/>
                <w:color w:val="0000FF"/>
              </w:rPr>
              <w:t>Global Citizen</w:t>
            </w:r>
          </w:p>
          <w:p w14:paraId="6933B0F2" w14:textId="77777777" w:rsidR="003E55E4" w:rsidRPr="00311044" w:rsidRDefault="003E55E4" w:rsidP="003E55E4">
            <w:pPr>
              <w:spacing w:after="0"/>
              <w:jc w:val="center"/>
              <w:rPr>
                <w:sz w:val="20"/>
                <w:szCs w:val="20"/>
              </w:rPr>
            </w:pPr>
            <w:r w:rsidRPr="00311044">
              <w:rPr>
                <w:b/>
                <w:noProof/>
                <w:color w:val="FFFF00"/>
                <w:sz w:val="20"/>
                <w:szCs w:val="20"/>
                <w:lang w:val="en-US" w:eastAsia="en-US"/>
              </w:rPr>
              <w:drawing>
                <wp:inline distT="0" distB="0" distL="0" distR="0" wp14:anchorId="4C8FFB5E" wp14:editId="4AAB19E4">
                  <wp:extent cx="559435" cy="548640"/>
                  <wp:effectExtent l="0" t="0" r="0" b="1016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9855" cy="578473"/>
                          </a:xfrm>
                          <a:prstGeom prst="rect">
                            <a:avLst/>
                          </a:prstGeom>
                          <a:noFill/>
                          <a:extLst/>
                        </pic:spPr>
                      </pic:pic>
                    </a:graphicData>
                  </a:graphic>
                </wp:inline>
              </w:drawing>
            </w:r>
          </w:p>
          <w:p w14:paraId="7F1827AD" w14:textId="77777777" w:rsidR="003E55E4" w:rsidRPr="00311044" w:rsidRDefault="003E55E4" w:rsidP="003E55E4">
            <w:pPr>
              <w:spacing w:after="0"/>
              <w:jc w:val="center"/>
              <w:rPr>
                <w:color w:val="0000FF"/>
                <w:sz w:val="20"/>
                <w:szCs w:val="20"/>
              </w:rPr>
            </w:pPr>
            <w:r w:rsidRPr="00311044">
              <w:rPr>
                <w:color w:val="0000FF"/>
                <w:sz w:val="20"/>
                <w:szCs w:val="20"/>
              </w:rPr>
              <w:t>General Knowledge, Current Affairs, Understanding cultures and community</w:t>
            </w:r>
          </w:p>
          <w:p w14:paraId="5CB70A09" w14:textId="77777777" w:rsidR="003E55E4" w:rsidRDefault="003E55E4" w:rsidP="003E55E4">
            <w:pPr>
              <w:spacing w:after="0"/>
              <w:rPr>
                <w:sz w:val="20"/>
                <w:szCs w:val="20"/>
              </w:rPr>
            </w:pPr>
          </w:p>
          <w:p w14:paraId="7508F493" w14:textId="689BEEE2" w:rsidR="003E55E4" w:rsidRPr="00311044" w:rsidRDefault="003E55E4" w:rsidP="003E55E4">
            <w:pPr>
              <w:spacing w:after="0"/>
              <w:rPr>
                <w:sz w:val="20"/>
                <w:szCs w:val="20"/>
              </w:rPr>
            </w:pPr>
            <w:r w:rsidRPr="00311044">
              <w:rPr>
                <w:sz w:val="20"/>
                <w:szCs w:val="20"/>
              </w:rPr>
              <w:t xml:space="preserve">Campbell House School will encourage students to become global citizens. Students will experience, explore, discuss and analyse current issues on both a local and global level to broaden their </w:t>
            </w:r>
            <w:r w:rsidR="00FA5885" w:rsidRPr="00311044">
              <w:rPr>
                <w:sz w:val="20"/>
                <w:szCs w:val="20"/>
              </w:rPr>
              <w:t xml:space="preserve">awareness </w:t>
            </w:r>
            <w:r w:rsidR="00FA5885">
              <w:rPr>
                <w:sz w:val="20"/>
                <w:szCs w:val="20"/>
              </w:rPr>
              <w:t>of</w:t>
            </w:r>
            <w:r>
              <w:rPr>
                <w:sz w:val="20"/>
                <w:szCs w:val="20"/>
              </w:rPr>
              <w:t xml:space="preserve"> life beyond their immediate surrounds.</w:t>
            </w:r>
          </w:p>
          <w:p w14:paraId="739BAE86" w14:textId="77777777" w:rsidR="003E55E4" w:rsidRPr="00311044" w:rsidRDefault="003E55E4" w:rsidP="003E55E4">
            <w:pPr>
              <w:spacing w:after="0"/>
              <w:rPr>
                <w:sz w:val="20"/>
                <w:szCs w:val="20"/>
              </w:rPr>
            </w:pPr>
          </w:p>
          <w:p w14:paraId="36834616" w14:textId="77777777" w:rsidR="003E55E4" w:rsidRPr="00311044" w:rsidRDefault="003E55E4" w:rsidP="003E55E4">
            <w:pPr>
              <w:spacing w:after="0"/>
              <w:rPr>
                <w:sz w:val="20"/>
                <w:szCs w:val="20"/>
              </w:rPr>
            </w:pPr>
          </w:p>
        </w:tc>
      </w:tr>
    </w:tbl>
    <w:tbl>
      <w:tblPr>
        <w:tblStyle w:val="TableGrid1"/>
        <w:tblW w:w="5000" w:type="pct"/>
        <w:tblLook w:val="04A0" w:firstRow="1" w:lastRow="0" w:firstColumn="1" w:lastColumn="0" w:noHBand="0" w:noVBand="1"/>
      </w:tblPr>
      <w:tblGrid>
        <w:gridCol w:w="2204"/>
        <w:gridCol w:w="2296"/>
        <w:gridCol w:w="1930"/>
        <w:gridCol w:w="2574"/>
        <w:gridCol w:w="2205"/>
        <w:gridCol w:w="2205"/>
        <w:gridCol w:w="2202"/>
      </w:tblGrid>
      <w:tr w:rsidR="003E55E4" w:rsidRPr="00311044" w14:paraId="64B69EED" w14:textId="77777777" w:rsidTr="003E55E4">
        <w:trPr>
          <w:trHeight w:val="161"/>
        </w:trPr>
        <w:tc>
          <w:tcPr>
            <w:tcW w:w="5000" w:type="pct"/>
            <w:gridSpan w:val="7"/>
            <w:shd w:val="clear" w:color="auto" w:fill="00CCFF"/>
          </w:tcPr>
          <w:p w14:paraId="48399930" w14:textId="41627B17" w:rsidR="003E55E4" w:rsidRPr="00311044" w:rsidRDefault="003E55E4" w:rsidP="003E55E4">
            <w:pPr>
              <w:spacing w:after="0"/>
              <w:ind w:right="-450"/>
              <w:jc w:val="center"/>
              <w:rPr>
                <w:b/>
                <w:sz w:val="28"/>
                <w:szCs w:val="28"/>
              </w:rPr>
            </w:pPr>
            <w:r w:rsidRPr="00311044">
              <w:rPr>
                <w:b/>
                <w:sz w:val="28"/>
                <w:szCs w:val="28"/>
              </w:rPr>
              <w:lastRenderedPageBreak/>
              <w:t xml:space="preserve">Campbell House </w:t>
            </w:r>
            <w:r w:rsidR="00FA5885" w:rsidRPr="00311044">
              <w:rPr>
                <w:b/>
                <w:sz w:val="28"/>
                <w:szCs w:val="28"/>
              </w:rPr>
              <w:t>School Elements</w:t>
            </w:r>
            <w:r w:rsidRPr="00311044">
              <w:rPr>
                <w:b/>
                <w:sz w:val="28"/>
                <w:szCs w:val="28"/>
              </w:rPr>
              <w:t xml:space="preserve"> of Learning and Achievement</w:t>
            </w:r>
          </w:p>
        </w:tc>
      </w:tr>
      <w:tr w:rsidR="003E55E4" w14:paraId="0247743C" w14:textId="77777777" w:rsidTr="003E55E4">
        <w:trPr>
          <w:trHeight w:val="1024"/>
        </w:trPr>
        <w:tc>
          <w:tcPr>
            <w:tcW w:w="706" w:type="pct"/>
          </w:tcPr>
          <w:p w14:paraId="4CFBD7CB" w14:textId="77777777" w:rsidR="003E55E4" w:rsidRPr="009663BA" w:rsidRDefault="003E55E4" w:rsidP="003E55E4">
            <w:pPr>
              <w:spacing w:after="0"/>
              <w:rPr>
                <w:b/>
                <w:color w:val="0000FF"/>
              </w:rPr>
            </w:pPr>
            <w:r w:rsidRPr="009663BA">
              <w:rPr>
                <w:b/>
                <w:color w:val="0000FF"/>
              </w:rPr>
              <w:t>Literacy</w:t>
            </w:r>
          </w:p>
          <w:p w14:paraId="74925D96" w14:textId="77777777" w:rsidR="003E55E4" w:rsidRDefault="003E55E4" w:rsidP="003E55E4">
            <w:pPr>
              <w:spacing w:after="0"/>
            </w:pPr>
            <w:r w:rsidRPr="00311044">
              <w:rPr>
                <w:noProof/>
                <w:sz w:val="20"/>
                <w:szCs w:val="20"/>
                <w:lang w:val="en-US" w:eastAsia="en-US"/>
              </w:rPr>
              <w:drawing>
                <wp:inline distT="0" distB="0" distL="0" distR="0" wp14:anchorId="210D2A61" wp14:editId="111F89F5">
                  <wp:extent cx="559435" cy="535940"/>
                  <wp:effectExtent l="0" t="0" r="0" b="0"/>
                  <wp:docPr id="2" name="Picture 2" descr="F:\Mock ups\Square elements\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Literac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435" cy="535940"/>
                          </a:xfrm>
                          <a:prstGeom prst="rect">
                            <a:avLst/>
                          </a:prstGeom>
                          <a:noFill/>
                          <a:extLst/>
                        </pic:spPr>
                      </pic:pic>
                    </a:graphicData>
                  </a:graphic>
                </wp:inline>
              </w:drawing>
            </w:r>
          </w:p>
        </w:tc>
        <w:tc>
          <w:tcPr>
            <w:tcW w:w="735" w:type="pct"/>
          </w:tcPr>
          <w:p w14:paraId="2E1D3157" w14:textId="77777777" w:rsidR="003E55E4" w:rsidRPr="009663BA" w:rsidRDefault="003E55E4" w:rsidP="003E55E4">
            <w:pPr>
              <w:spacing w:after="0"/>
              <w:rPr>
                <w:b/>
                <w:color w:val="0000FF"/>
              </w:rPr>
            </w:pPr>
            <w:r w:rsidRPr="009663BA">
              <w:rPr>
                <w:b/>
                <w:color w:val="0000FF"/>
              </w:rPr>
              <w:t>Numeracy</w:t>
            </w:r>
          </w:p>
          <w:p w14:paraId="30FA952C" w14:textId="77777777" w:rsidR="003E55E4" w:rsidRDefault="003E55E4" w:rsidP="003E55E4">
            <w:pPr>
              <w:spacing w:after="0"/>
            </w:pPr>
            <w:r w:rsidRPr="00311044">
              <w:rPr>
                <w:noProof/>
                <w:sz w:val="20"/>
                <w:szCs w:val="20"/>
                <w:lang w:val="en-US" w:eastAsia="en-US"/>
              </w:rPr>
              <w:drawing>
                <wp:inline distT="0" distB="0" distL="0" distR="0" wp14:anchorId="01FC30C2" wp14:editId="42E73128">
                  <wp:extent cx="610235" cy="535940"/>
                  <wp:effectExtent l="0" t="0" r="0" b="0"/>
                  <wp:docPr id="3"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542" cy="544114"/>
                          </a:xfrm>
                          <a:prstGeom prst="rect">
                            <a:avLst/>
                          </a:prstGeom>
                          <a:noFill/>
                          <a:extLst/>
                        </pic:spPr>
                      </pic:pic>
                    </a:graphicData>
                  </a:graphic>
                </wp:inline>
              </w:drawing>
            </w:r>
          </w:p>
        </w:tc>
        <w:tc>
          <w:tcPr>
            <w:tcW w:w="618" w:type="pct"/>
          </w:tcPr>
          <w:p w14:paraId="1839862A" w14:textId="77777777" w:rsidR="003E55E4" w:rsidRPr="009663BA" w:rsidRDefault="003E55E4" w:rsidP="003E55E4">
            <w:pPr>
              <w:spacing w:after="0"/>
              <w:rPr>
                <w:b/>
                <w:color w:val="0000FF"/>
              </w:rPr>
            </w:pPr>
            <w:r w:rsidRPr="009663BA">
              <w:rPr>
                <w:b/>
                <w:color w:val="0000FF"/>
              </w:rPr>
              <w:t>Work Education</w:t>
            </w:r>
          </w:p>
          <w:p w14:paraId="71DCB02D" w14:textId="77777777" w:rsidR="003E55E4" w:rsidRDefault="003E55E4" w:rsidP="003E55E4">
            <w:pPr>
              <w:spacing w:after="0"/>
            </w:pPr>
            <w:r>
              <w:rPr>
                <w:noProof/>
                <w:lang w:val="en-US" w:eastAsia="en-US"/>
              </w:rPr>
              <w:drawing>
                <wp:inline distT="0" distB="0" distL="0" distR="0" wp14:anchorId="3A55AB98" wp14:editId="03A4AB75">
                  <wp:extent cx="571500" cy="564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46" cy="564360"/>
                          </a:xfrm>
                          <a:prstGeom prst="rect">
                            <a:avLst/>
                          </a:prstGeom>
                          <a:noFill/>
                          <a:ln>
                            <a:noFill/>
                          </a:ln>
                        </pic:spPr>
                      </pic:pic>
                    </a:graphicData>
                  </a:graphic>
                </wp:inline>
              </w:drawing>
            </w:r>
          </w:p>
        </w:tc>
        <w:tc>
          <w:tcPr>
            <w:tcW w:w="824" w:type="pct"/>
          </w:tcPr>
          <w:p w14:paraId="3A5FB405" w14:textId="77777777" w:rsidR="003E55E4" w:rsidRPr="009663BA" w:rsidRDefault="003E55E4" w:rsidP="003E55E4">
            <w:pPr>
              <w:spacing w:after="0"/>
              <w:rPr>
                <w:b/>
                <w:color w:val="0000FF"/>
              </w:rPr>
            </w:pPr>
            <w:r w:rsidRPr="009663BA">
              <w:rPr>
                <w:b/>
                <w:color w:val="0000FF"/>
              </w:rPr>
              <w:t>Health and Wellbeing</w:t>
            </w:r>
          </w:p>
          <w:p w14:paraId="0489FF75" w14:textId="77777777" w:rsidR="003E55E4" w:rsidRDefault="003E55E4" w:rsidP="003E55E4">
            <w:pPr>
              <w:spacing w:after="0"/>
            </w:pPr>
            <w:r w:rsidRPr="00311044">
              <w:rPr>
                <w:noProof/>
                <w:sz w:val="20"/>
                <w:szCs w:val="20"/>
                <w:lang w:val="en-US" w:eastAsia="en-US"/>
              </w:rPr>
              <w:drawing>
                <wp:inline distT="0" distB="0" distL="0" distR="0" wp14:anchorId="5F5254AF" wp14:editId="7487ABB7">
                  <wp:extent cx="610235" cy="522807"/>
                  <wp:effectExtent l="0" t="0" r="0" b="1079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3589" cy="542816"/>
                          </a:xfrm>
                          <a:prstGeom prst="rect">
                            <a:avLst/>
                          </a:prstGeom>
                          <a:noFill/>
                          <a:extLst/>
                        </pic:spPr>
                      </pic:pic>
                    </a:graphicData>
                  </a:graphic>
                </wp:inline>
              </w:drawing>
            </w:r>
          </w:p>
        </w:tc>
        <w:tc>
          <w:tcPr>
            <w:tcW w:w="706" w:type="pct"/>
          </w:tcPr>
          <w:p w14:paraId="3D19E49A" w14:textId="2886C013" w:rsidR="003E55E4" w:rsidRDefault="00FA5885" w:rsidP="003E55E4">
            <w:pPr>
              <w:spacing w:after="0"/>
              <w:rPr>
                <w:b/>
                <w:color w:val="0000FF"/>
              </w:rPr>
            </w:pPr>
            <w:r>
              <w:rPr>
                <w:b/>
                <w:color w:val="0000FF"/>
              </w:rPr>
              <w:t xml:space="preserve">Actions &amp; </w:t>
            </w:r>
            <w:r w:rsidRPr="009663BA">
              <w:rPr>
                <w:b/>
                <w:color w:val="0000FF"/>
              </w:rPr>
              <w:t>Choices</w:t>
            </w:r>
          </w:p>
          <w:p w14:paraId="2563AB28" w14:textId="77777777" w:rsidR="003E55E4" w:rsidRPr="003E55E4" w:rsidRDefault="003E55E4" w:rsidP="003E55E4">
            <w:pPr>
              <w:spacing w:after="0"/>
              <w:rPr>
                <w:b/>
                <w:color w:val="0000FF"/>
              </w:rPr>
            </w:pPr>
            <w:r w:rsidRPr="00311044">
              <w:rPr>
                <w:noProof/>
                <w:sz w:val="20"/>
                <w:szCs w:val="20"/>
                <w:lang w:val="en-US" w:eastAsia="en-US"/>
              </w:rPr>
              <w:drawing>
                <wp:inline distT="0" distB="0" distL="0" distR="0" wp14:anchorId="13D38C23" wp14:editId="35B3C98C">
                  <wp:extent cx="610235" cy="53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240" cy="538579"/>
                          </a:xfrm>
                          <a:prstGeom prst="rect">
                            <a:avLst/>
                          </a:prstGeom>
                          <a:noFill/>
                          <a:ln>
                            <a:noFill/>
                          </a:ln>
                        </pic:spPr>
                      </pic:pic>
                    </a:graphicData>
                  </a:graphic>
                </wp:inline>
              </w:drawing>
            </w:r>
          </w:p>
        </w:tc>
        <w:tc>
          <w:tcPr>
            <w:tcW w:w="706" w:type="pct"/>
          </w:tcPr>
          <w:p w14:paraId="7BA9F4BF" w14:textId="77777777" w:rsidR="003E55E4" w:rsidRPr="009663BA" w:rsidRDefault="003E55E4" w:rsidP="003E55E4">
            <w:pPr>
              <w:spacing w:after="0"/>
              <w:rPr>
                <w:b/>
                <w:color w:val="0000FF"/>
              </w:rPr>
            </w:pPr>
            <w:r w:rsidRPr="009663BA">
              <w:rPr>
                <w:b/>
                <w:color w:val="0000FF"/>
              </w:rPr>
              <w:t>21</w:t>
            </w:r>
            <w:r w:rsidRPr="009663BA">
              <w:rPr>
                <w:b/>
                <w:color w:val="0000FF"/>
                <w:vertAlign w:val="superscript"/>
              </w:rPr>
              <w:t>st</w:t>
            </w:r>
            <w:r>
              <w:rPr>
                <w:b/>
                <w:color w:val="0000FF"/>
              </w:rPr>
              <w:t xml:space="preserve"> Century </w:t>
            </w:r>
            <w:r w:rsidRPr="009663BA">
              <w:rPr>
                <w:b/>
                <w:color w:val="0000FF"/>
              </w:rPr>
              <w:t>Learner</w:t>
            </w:r>
          </w:p>
          <w:p w14:paraId="421F2DB6" w14:textId="77777777" w:rsidR="003E55E4" w:rsidRDefault="003E55E4" w:rsidP="003E55E4">
            <w:pPr>
              <w:spacing w:after="0"/>
            </w:pPr>
            <w:r w:rsidRPr="00311044">
              <w:rPr>
                <w:noProof/>
                <w:sz w:val="20"/>
                <w:szCs w:val="20"/>
                <w:lang w:val="en-US" w:eastAsia="en-US"/>
              </w:rPr>
              <w:drawing>
                <wp:inline distT="0" distB="0" distL="0" distR="0" wp14:anchorId="4D47C77E" wp14:editId="55BCF920">
                  <wp:extent cx="610235" cy="484525"/>
                  <wp:effectExtent l="0" t="0" r="0" b="0"/>
                  <wp:docPr id="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663" cy="491217"/>
                          </a:xfrm>
                          <a:prstGeom prst="rect">
                            <a:avLst/>
                          </a:prstGeom>
                          <a:noFill/>
                          <a:extLst/>
                        </pic:spPr>
                      </pic:pic>
                    </a:graphicData>
                  </a:graphic>
                </wp:inline>
              </w:drawing>
            </w:r>
          </w:p>
        </w:tc>
        <w:tc>
          <w:tcPr>
            <w:tcW w:w="706" w:type="pct"/>
          </w:tcPr>
          <w:p w14:paraId="41296F5E" w14:textId="77777777" w:rsidR="003E55E4" w:rsidRPr="009663BA" w:rsidRDefault="003E55E4" w:rsidP="003E55E4">
            <w:pPr>
              <w:spacing w:after="0"/>
              <w:rPr>
                <w:b/>
                <w:color w:val="0000FF"/>
              </w:rPr>
            </w:pPr>
            <w:r w:rsidRPr="009663BA">
              <w:rPr>
                <w:b/>
                <w:color w:val="0000FF"/>
              </w:rPr>
              <w:t>Global Citizen</w:t>
            </w:r>
          </w:p>
          <w:p w14:paraId="6DA2313A" w14:textId="77777777" w:rsidR="003E55E4" w:rsidRDefault="003E55E4" w:rsidP="003E55E4">
            <w:pPr>
              <w:spacing w:after="0"/>
            </w:pPr>
            <w:r w:rsidRPr="00311044">
              <w:rPr>
                <w:b/>
                <w:noProof/>
                <w:color w:val="FFFF00"/>
                <w:sz w:val="20"/>
                <w:szCs w:val="20"/>
                <w:lang w:val="en-US" w:eastAsia="en-US"/>
              </w:rPr>
              <w:drawing>
                <wp:inline distT="0" distB="0" distL="0" distR="0" wp14:anchorId="4DAE1DFC" wp14:editId="2BC132D3">
                  <wp:extent cx="610235" cy="53594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3418" cy="565083"/>
                          </a:xfrm>
                          <a:prstGeom prst="rect">
                            <a:avLst/>
                          </a:prstGeom>
                          <a:noFill/>
                          <a:extLst/>
                        </pic:spPr>
                      </pic:pic>
                    </a:graphicData>
                  </a:graphic>
                </wp:inline>
              </w:drawing>
            </w:r>
          </w:p>
        </w:tc>
      </w:tr>
      <w:tr w:rsidR="003E55E4" w14:paraId="43D76215" w14:textId="77777777" w:rsidTr="003E55E4">
        <w:trPr>
          <w:trHeight w:val="281"/>
        </w:trPr>
        <w:tc>
          <w:tcPr>
            <w:tcW w:w="706" w:type="pct"/>
          </w:tcPr>
          <w:p w14:paraId="0A42E682" w14:textId="4F858F56" w:rsidR="003E55E4" w:rsidRDefault="003E55E4" w:rsidP="003E55E4">
            <w:pPr>
              <w:spacing w:after="0"/>
            </w:pPr>
            <w:r>
              <w:t xml:space="preserve">Literacy Lessons </w:t>
            </w:r>
            <w:r w:rsidR="00FA5885">
              <w:t>(L2</w:t>
            </w:r>
            <w:r>
              <w:t>)</w:t>
            </w:r>
          </w:p>
          <w:p w14:paraId="4391D25C" w14:textId="77777777" w:rsidR="003E55E4" w:rsidRDefault="003E55E4" w:rsidP="003E55E4">
            <w:pPr>
              <w:spacing w:after="0"/>
            </w:pPr>
          </w:p>
          <w:p w14:paraId="4C3FE8AE" w14:textId="77777777" w:rsidR="003E55E4" w:rsidRDefault="003E55E4" w:rsidP="003E55E4">
            <w:pPr>
              <w:spacing w:after="0"/>
            </w:pPr>
            <w:r>
              <w:t>Super Six Strategies</w:t>
            </w:r>
          </w:p>
          <w:p w14:paraId="4ACE40E3" w14:textId="77777777" w:rsidR="003E55E4" w:rsidRDefault="003E55E4" w:rsidP="003E55E4">
            <w:pPr>
              <w:spacing w:after="0"/>
            </w:pPr>
          </w:p>
          <w:p w14:paraId="659C30F6" w14:textId="77777777" w:rsidR="003E55E4" w:rsidRDefault="003E55E4" w:rsidP="003E55E4">
            <w:pPr>
              <w:spacing w:after="0"/>
            </w:pPr>
            <w:r>
              <w:t xml:space="preserve"> Literacy Continuum</w:t>
            </w:r>
          </w:p>
          <w:p w14:paraId="340F27CF" w14:textId="77777777" w:rsidR="003E55E4" w:rsidRDefault="003E55E4" w:rsidP="003E55E4">
            <w:pPr>
              <w:spacing w:after="0"/>
            </w:pPr>
          </w:p>
          <w:p w14:paraId="4476ECE4" w14:textId="77777777" w:rsidR="003E55E4" w:rsidRDefault="003E55E4" w:rsidP="003E55E4">
            <w:pPr>
              <w:spacing w:after="0"/>
            </w:pPr>
            <w:r>
              <w:t>Mulitlit</w:t>
            </w:r>
          </w:p>
          <w:p w14:paraId="216AC59D" w14:textId="77777777" w:rsidR="003E55E4" w:rsidRDefault="003E55E4" w:rsidP="003E55E4">
            <w:pPr>
              <w:spacing w:after="0"/>
            </w:pPr>
          </w:p>
          <w:p w14:paraId="182BE943" w14:textId="77777777" w:rsidR="003E55E4" w:rsidRDefault="003E55E4" w:rsidP="003E55E4">
            <w:pPr>
              <w:spacing w:after="0"/>
            </w:pPr>
            <w:r>
              <w:t xml:space="preserve">Dyslexia Learning </w:t>
            </w:r>
          </w:p>
          <w:p w14:paraId="67A05EEB" w14:textId="77777777" w:rsidR="003E55E4" w:rsidRDefault="003E55E4" w:rsidP="003E55E4">
            <w:pPr>
              <w:spacing w:after="0"/>
            </w:pPr>
          </w:p>
          <w:p w14:paraId="0E664453" w14:textId="77777777" w:rsidR="003E55E4" w:rsidRDefault="003E55E4" w:rsidP="003E55E4">
            <w:pPr>
              <w:spacing w:after="0"/>
            </w:pPr>
            <w:r>
              <w:t>Disabilities</w:t>
            </w:r>
          </w:p>
          <w:p w14:paraId="0457EDA9" w14:textId="77777777" w:rsidR="003E55E4" w:rsidRDefault="003E55E4" w:rsidP="003E55E4">
            <w:pPr>
              <w:spacing w:after="0"/>
            </w:pPr>
          </w:p>
          <w:p w14:paraId="3C452724" w14:textId="77777777" w:rsidR="003E55E4" w:rsidRDefault="003E55E4" w:rsidP="003E55E4">
            <w:pPr>
              <w:spacing w:after="0"/>
            </w:pPr>
            <w:r>
              <w:t>Pre and Post assessment</w:t>
            </w:r>
          </w:p>
          <w:p w14:paraId="43FB5324" w14:textId="77777777" w:rsidR="003E55E4" w:rsidRDefault="003E55E4" w:rsidP="003E55E4">
            <w:pPr>
              <w:spacing w:after="0"/>
            </w:pPr>
          </w:p>
          <w:p w14:paraId="1BB1555C" w14:textId="77777777" w:rsidR="003E55E4" w:rsidRDefault="003E55E4" w:rsidP="003E55E4">
            <w:pPr>
              <w:spacing w:after="0"/>
            </w:pPr>
            <w:r>
              <w:t>Resource Development</w:t>
            </w:r>
          </w:p>
          <w:p w14:paraId="7D24769F" w14:textId="77777777" w:rsidR="003E55E4" w:rsidRDefault="003E55E4" w:rsidP="003E55E4">
            <w:pPr>
              <w:spacing w:after="0"/>
            </w:pPr>
          </w:p>
          <w:p w14:paraId="7AE7A78C" w14:textId="77777777" w:rsidR="003E55E4" w:rsidRDefault="003E55E4" w:rsidP="003E55E4">
            <w:pPr>
              <w:spacing w:after="0"/>
            </w:pPr>
            <w:r>
              <w:t>Professional Development</w:t>
            </w:r>
          </w:p>
          <w:p w14:paraId="24139461" w14:textId="77777777" w:rsidR="003E55E4" w:rsidRDefault="003E55E4" w:rsidP="003E55E4">
            <w:pPr>
              <w:spacing w:after="0"/>
            </w:pPr>
          </w:p>
          <w:p w14:paraId="1E302415" w14:textId="77777777" w:rsidR="003E55E4" w:rsidRDefault="003E55E4" w:rsidP="003E55E4">
            <w:pPr>
              <w:spacing w:after="0"/>
            </w:pPr>
            <w:r>
              <w:t>Drama</w:t>
            </w:r>
          </w:p>
          <w:p w14:paraId="37E5011C" w14:textId="77777777" w:rsidR="003E55E4" w:rsidRDefault="003E55E4" w:rsidP="003E55E4">
            <w:pPr>
              <w:pStyle w:val="ListParagraph"/>
            </w:pPr>
          </w:p>
        </w:tc>
        <w:tc>
          <w:tcPr>
            <w:tcW w:w="735" w:type="pct"/>
          </w:tcPr>
          <w:p w14:paraId="676873F3" w14:textId="77777777" w:rsidR="003E55E4" w:rsidRDefault="003E55E4" w:rsidP="003E55E4">
            <w:pPr>
              <w:spacing w:after="0"/>
              <w:jc w:val="both"/>
            </w:pPr>
            <w:r>
              <w:t>Number</w:t>
            </w:r>
          </w:p>
          <w:p w14:paraId="2D3516E2" w14:textId="77777777" w:rsidR="003E55E4" w:rsidRDefault="003E55E4" w:rsidP="003E55E4">
            <w:pPr>
              <w:spacing w:after="0"/>
              <w:jc w:val="both"/>
            </w:pPr>
          </w:p>
          <w:p w14:paraId="68BB9B44" w14:textId="77777777" w:rsidR="003E55E4" w:rsidRDefault="003E55E4" w:rsidP="003E55E4">
            <w:pPr>
              <w:spacing w:after="0"/>
              <w:jc w:val="both"/>
            </w:pPr>
            <w:r>
              <w:t>Numeracy</w:t>
            </w:r>
          </w:p>
          <w:p w14:paraId="00405E44" w14:textId="77777777" w:rsidR="003E55E4" w:rsidRDefault="003E55E4" w:rsidP="003E55E4">
            <w:pPr>
              <w:spacing w:after="0"/>
              <w:jc w:val="both"/>
            </w:pPr>
          </w:p>
          <w:p w14:paraId="406D1305" w14:textId="77777777" w:rsidR="003E55E4" w:rsidRDefault="003E55E4" w:rsidP="003E55E4">
            <w:pPr>
              <w:spacing w:after="0"/>
              <w:jc w:val="both"/>
            </w:pPr>
            <w:r>
              <w:t>Numeracy Continuum</w:t>
            </w:r>
          </w:p>
          <w:p w14:paraId="337F8920" w14:textId="77777777" w:rsidR="003E55E4" w:rsidRDefault="003E55E4" w:rsidP="003E55E4">
            <w:pPr>
              <w:spacing w:after="0"/>
              <w:jc w:val="both"/>
            </w:pPr>
          </w:p>
          <w:p w14:paraId="3EBC5E7A" w14:textId="77777777" w:rsidR="003E55E4" w:rsidRDefault="003E55E4" w:rsidP="003E55E4">
            <w:pPr>
              <w:spacing w:after="0"/>
              <w:jc w:val="both"/>
            </w:pPr>
            <w:r>
              <w:t>Professional Development</w:t>
            </w:r>
          </w:p>
          <w:p w14:paraId="5B813D98" w14:textId="77777777" w:rsidR="003E55E4" w:rsidRDefault="003E55E4" w:rsidP="003E55E4">
            <w:pPr>
              <w:spacing w:after="0"/>
              <w:jc w:val="both"/>
            </w:pPr>
          </w:p>
          <w:p w14:paraId="0824D0CE" w14:textId="77777777" w:rsidR="003E55E4" w:rsidRDefault="003E55E4" w:rsidP="003E55E4">
            <w:pPr>
              <w:spacing w:after="0"/>
              <w:jc w:val="both"/>
            </w:pPr>
            <w:r>
              <w:t>Resource Development</w:t>
            </w:r>
          </w:p>
          <w:p w14:paraId="076B277C" w14:textId="77777777" w:rsidR="003E55E4" w:rsidRDefault="003E55E4" w:rsidP="003E55E4">
            <w:pPr>
              <w:spacing w:after="0"/>
              <w:jc w:val="both"/>
            </w:pPr>
          </w:p>
          <w:p w14:paraId="34D67FD0" w14:textId="77777777" w:rsidR="003E55E4" w:rsidRDefault="003E55E4" w:rsidP="003E55E4">
            <w:pPr>
              <w:spacing w:after="0"/>
              <w:jc w:val="both"/>
            </w:pPr>
            <w:r>
              <w:t>Pre and Post Assessment</w:t>
            </w:r>
          </w:p>
          <w:p w14:paraId="23F21825" w14:textId="77777777" w:rsidR="003E55E4" w:rsidRDefault="003E55E4" w:rsidP="003E55E4">
            <w:pPr>
              <w:spacing w:after="0"/>
              <w:jc w:val="both"/>
            </w:pPr>
          </w:p>
          <w:p w14:paraId="19950528" w14:textId="01945F8C" w:rsidR="003E55E4" w:rsidRDefault="003E55E4" w:rsidP="003E55E4">
            <w:pPr>
              <w:spacing w:after="0"/>
              <w:jc w:val="both"/>
            </w:pPr>
            <w:r>
              <w:t xml:space="preserve">TOWN </w:t>
            </w:r>
            <w:r w:rsidR="00FA5885">
              <w:t>(Taking</w:t>
            </w:r>
            <w:r>
              <w:t xml:space="preserve"> off with Numeracy)</w:t>
            </w:r>
          </w:p>
        </w:tc>
        <w:tc>
          <w:tcPr>
            <w:tcW w:w="618" w:type="pct"/>
          </w:tcPr>
          <w:p w14:paraId="04F38E7A" w14:textId="77777777" w:rsidR="003E55E4" w:rsidRDefault="003E55E4" w:rsidP="003E55E4">
            <w:pPr>
              <w:spacing w:after="0"/>
            </w:pPr>
            <w:r>
              <w:t>Career Connection</w:t>
            </w:r>
          </w:p>
          <w:p w14:paraId="0EAD819D" w14:textId="77777777" w:rsidR="003E55E4" w:rsidRDefault="003E55E4" w:rsidP="003E55E4">
            <w:pPr>
              <w:spacing w:after="0"/>
            </w:pPr>
          </w:p>
          <w:p w14:paraId="31522CB8" w14:textId="77777777" w:rsidR="003E55E4" w:rsidRDefault="003E55E4" w:rsidP="003E55E4">
            <w:pPr>
              <w:spacing w:after="0"/>
            </w:pPr>
            <w:r>
              <w:t>atWork</w:t>
            </w:r>
          </w:p>
          <w:p w14:paraId="388A49AA" w14:textId="77777777" w:rsidR="003E55E4" w:rsidRDefault="003E55E4" w:rsidP="003E55E4">
            <w:pPr>
              <w:spacing w:after="0"/>
            </w:pPr>
          </w:p>
          <w:p w14:paraId="2C38C8CA" w14:textId="77777777" w:rsidR="003E55E4" w:rsidRDefault="003E55E4" w:rsidP="003E55E4">
            <w:pPr>
              <w:spacing w:after="0"/>
            </w:pPr>
            <w:r>
              <w:t>Volunteering Program</w:t>
            </w:r>
          </w:p>
          <w:p w14:paraId="197BB28B" w14:textId="77777777" w:rsidR="003E55E4" w:rsidRDefault="003E55E4" w:rsidP="003E55E4">
            <w:pPr>
              <w:spacing w:after="0"/>
            </w:pPr>
          </w:p>
          <w:p w14:paraId="397D4B13" w14:textId="77777777" w:rsidR="003E55E4" w:rsidRDefault="003E55E4" w:rsidP="003E55E4">
            <w:pPr>
              <w:spacing w:after="0"/>
            </w:pPr>
            <w:r>
              <w:t>Vocational Electives</w:t>
            </w:r>
          </w:p>
          <w:p w14:paraId="16B5E3CF" w14:textId="77777777" w:rsidR="003E55E4" w:rsidRDefault="003E55E4" w:rsidP="003E55E4">
            <w:pPr>
              <w:spacing w:after="0"/>
            </w:pPr>
          </w:p>
          <w:p w14:paraId="5AF12FC0" w14:textId="77777777" w:rsidR="003E55E4" w:rsidRDefault="003E55E4" w:rsidP="003E55E4">
            <w:pPr>
              <w:spacing w:after="0"/>
            </w:pPr>
            <w:r>
              <w:t>Car Restoration Project</w:t>
            </w:r>
          </w:p>
          <w:p w14:paraId="71C1B163" w14:textId="77777777" w:rsidR="003E55E4" w:rsidRDefault="003E55E4" w:rsidP="003E55E4">
            <w:pPr>
              <w:spacing w:after="0"/>
            </w:pPr>
          </w:p>
          <w:p w14:paraId="2EBF1E99" w14:textId="1C2AE02E" w:rsidR="003E55E4" w:rsidRDefault="003E55E4" w:rsidP="003E55E4">
            <w:pPr>
              <w:spacing w:after="0"/>
            </w:pPr>
            <w:r>
              <w:t xml:space="preserve">Work Studies </w:t>
            </w:r>
            <w:r w:rsidR="00FA5885">
              <w:t>(stage</w:t>
            </w:r>
            <w:r>
              <w:t xml:space="preserve"> 6)</w:t>
            </w:r>
          </w:p>
          <w:p w14:paraId="7505A254" w14:textId="77777777" w:rsidR="003E55E4" w:rsidRDefault="003E55E4" w:rsidP="003E55E4">
            <w:pPr>
              <w:spacing w:after="0"/>
            </w:pPr>
          </w:p>
          <w:p w14:paraId="74316D0B" w14:textId="413D4EFB" w:rsidR="003E55E4" w:rsidRDefault="003E55E4" w:rsidP="003E55E4">
            <w:pPr>
              <w:spacing w:after="0"/>
            </w:pPr>
            <w:r>
              <w:t xml:space="preserve">Work Education </w:t>
            </w:r>
            <w:r w:rsidR="00FA5885">
              <w:t>(Stage</w:t>
            </w:r>
            <w:r>
              <w:t xml:space="preserve"> 5)</w:t>
            </w:r>
          </w:p>
          <w:p w14:paraId="27313B01" w14:textId="77777777" w:rsidR="003E55E4" w:rsidRDefault="003E55E4" w:rsidP="003E55E4">
            <w:pPr>
              <w:spacing w:after="0"/>
            </w:pPr>
          </w:p>
          <w:p w14:paraId="26B16085" w14:textId="77777777" w:rsidR="003E55E4" w:rsidRDefault="003E55E4" w:rsidP="003E55E4">
            <w:pPr>
              <w:spacing w:after="0"/>
            </w:pPr>
            <w:r>
              <w:t>CPAC</w:t>
            </w:r>
          </w:p>
          <w:p w14:paraId="7DD088E8" w14:textId="77777777" w:rsidR="003E55E4" w:rsidRDefault="003E55E4" w:rsidP="003E55E4">
            <w:pPr>
              <w:spacing w:after="0"/>
            </w:pPr>
          </w:p>
          <w:p w14:paraId="44212E22" w14:textId="77777777" w:rsidR="003E55E4" w:rsidRDefault="003E55E4" w:rsidP="003E55E4">
            <w:pPr>
              <w:spacing w:after="0"/>
            </w:pPr>
            <w:r>
              <w:t>Work Experience</w:t>
            </w:r>
          </w:p>
          <w:p w14:paraId="47F39FF3" w14:textId="77777777" w:rsidR="003E55E4" w:rsidRDefault="003E55E4" w:rsidP="003E55E4">
            <w:pPr>
              <w:spacing w:after="0"/>
            </w:pPr>
          </w:p>
          <w:p w14:paraId="684BFFB2" w14:textId="77777777" w:rsidR="003E55E4" w:rsidRDefault="003E55E4" w:rsidP="003E55E4">
            <w:pPr>
              <w:spacing w:after="0"/>
            </w:pPr>
            <w:r>
              <w:t>Transition Planning</w:t>
            </w:r>
          </w:p>
          <w:p w14:paraId="469D4860" w14:textId="77777777" w:rsidR="003E55E4" w:rsidRDefault="003E55E4" w:rsidP="003E55E4">
            <w:pPr>
              <w:spacing w:after="0"/>
            </w:pPr>
            <w:r>
              <w:t>Pizza Business</w:t>
            </w:r>
          </w:p>
          <w:p w14:paraId="1AEE5641" w14:textId="77777777" w:rsidR="003E55E4" w:rsidRDefault="003E55E4" w:rsidP="003E55E4">
            <w:pPr>
              <w:spacing w:after="0"/>
            </w:pPr>
            <w:r>
              <w:t>T-Vet</w:t>
            </w:r>
          </w:p>
          <w:p w14:paraId="446FCB1D" w14:textId="77777777" w:rsidR="003E55E4" w:rsidRDefault="003E55E4" w:rsidP="003E55E4">
            <w:pPr>
              <w:spacing w:after="0"/>
            </w:pPr>
            <w:r>
              <w:t>Horticulture</w:t>
            </w:r>
          </w:p>
        </w:tc>
        <w:tc>
          <w:tcPr>
            <w:tcW w:w="824" w:type="pct"/>
          </w:tcPr>
          <w:p w14:paraId="0FCFE6AA" w14:textId="77777777" w:rsidR="003E55E4" w:rsidRDefault="003E55E4" w:rsidP="003E55E4">
            <w:pPr>
              <w:spacing w:after="0"/>
            </w:pPr>
            <w:r>
              <w:t>Anger Management</w:t>
            </w:r>
          </w:p>
          <w:p w14:paraId="35D0B40B" w14:textId="77777777" w:rsidR="003E55E4" w:rsidRPr="00A86741" w:rsidRDefault="003E55E4" w:rsidP="003E55E4">
            <w:pPr>
              <w:spacing w:after="0"/>
              <w:rPr>
                <w:color w:val="3366FF"/>
              </w:rPr>
            </w:pPr>
            <w:r w:rsidRPr="00A86741">
              <w:rPr>
                <w:color w:val="3366FF"/>
              </w:rPr>
              <w:t>Nutrition Program</w:t>
            </w:r>
          </w:p>
          <w:p w14:paraId="2297CAE3" w14:textId="77777777" w:rsidR="003E55E4" w:rsidRDefault="003E55E4" w:rsidP="003E55E4">
            <w:pPr>
              <w:spacing w:after="0"/>
            </w:pPr>
            <w:r>
              <w:t>Healthy Eating</w:t>
            </w:r>
          </w:p>
          <w:p w14:paraId="344F257B" w14:textId="77777777" w:rsidR="003E55E4" w:rsidRPr="00A86741" w:rsidRDefault="003E55E4" w:rsidP="003E55E4">
            <w:pPr>
              <w:spacing w:after="0"/>
              <w:rPr>
                <w:color w:val="3366FF"/>
              </w:rPr>
            </w:pPr>
            <w:r w:rsidRPr="00A86741">
              <w:rPr>
                <w:color w:val="3366FF"/>
              </w:rPr>
              <w:t>Parent Group</w:t>
            </w:r>
          </w:p>
          <w:p w14:paraId="5B5DB04E" w14:textId="77777777" w:rsidR="003E55E4" w:rsidRDefault="003E55E4" w:rsidP="003E55E4">
            <w:pPr>
              <w:spacing w:after="0"/>
            </w:pPr>
            <w:r>
              <w:t>Sexual health</w:t>
            </w:r>
          </w:p>
          <w:p w14:paraId="34418B42" w14:textId="77777777" w:rsidR="003E55E4" w:rsidRPr="00A86741" w:rsidRDefault="003E55E4" w:rsidP="003E55E4">
            <w:pPr>
              <w:spacing w:after="0"/>
              <w:rPr>
                <w:color w:val="3366FF"/>
              </w:rPr>
            </w:pPr>
            <w:r w:rsidRPr="00A86741">
              <w:rPr>
                <w:color w:val="3366FF"/>
              </w:rPr>
              <w:t>Horticulture</w:t>
            </w:r>
          </w:p>
          <w:p w14:paraId="51884488" w14:textId="77777777" w:rsidR="003E55E4" w:rsidRDefault="003E55E4" w:rsidP="003E55E4">
            <w:pPr>
              <w:spacing w:after="0"/>
            </w:pPr>
            <w:r>
              <w:t>Phone Home</w:t>
            </w:r>
          </w:p>
          <w:p w14:paraId="73BA0246" w14:textId="77777777" w:rsidR="003E55E4" w:rsidRPr="00A86741" w:rsidRDefault="003E55E4" w:rsidP="003E55E4">
            <w:pPr>
              <w:spacing w:after="0"/>
              <w:rPr>
                <w:color w:val="3366FF"/>
              </w:rPr>
            </w:pPr>
            <w:r w:rsidRPr="00A86741">
              <w:rPr>
                <w:color w:val="3366FF"/>
              </w:rPr>
              <w:t>Drama</w:t>
            </w:r>
          </w:p>
          <w:p w14:paraId="41F634B6" w14:textId="77777777" w:rsidR="003E55E4" w:rsidRDefault="003E55E4" w:rsidP="003E55E4">
            <w:pPr>
              <w:spacing w:after="0"/>
            </w:pPr>
            <w:r>
              <w:t>Family Support</w:t>
            </w:r>
          </w:p>
          <w:p w14:paraId="1D50F892" w14:textId="77777777" w:rsidR="003E55E4" w:rsidRPr="00A86741" w:rsidRDefault="003E55E4" w:rsidP="003E55E4">
            <w:pPr>
              <w:spacing w:after="0"/>
              <w:rPr>
                <w:color w:val="3366FF"/>
              </w:rPr>
            </w:pPr>
            <w:r w:rsidRPr="00A86741">
              <w:rPr>
                <w:color w:val="3366FF"/>
              </w:rPr>
              <w:t>PE</w:t>
            </w:r>
          </w:p>
          <w:p w14:paraId="465CB355" w14:textId="77777777" w:rsidR="003E55E4" w:rsidRDefault="003E55E4" w:rsidP="003E55E4">
            <w:pPr>
              <w:spacing w:after="0"/>
            </w:pPr>
            <w:r>
              <w:t>Visual Arts</w:t>
            </w:r>
          </w:p>
          <w:p w14:paraId="6D58A9DB" w14:textId="77777777" w:rsidR="003E55E4" w:rsidRPr="00A86741" w:rsidRDefault="003E55E4" w:rsidP="003E55E4">
            <w:pPr>
              <w:spacing w:after="0"/>
              <w:rPr>
                <w:color w:val="3366FF"/>
              </w:rPr>
            </w:pPr>
            <w:r w:rsidRPr="00A86741">
              <w:rPr>
                <w:color w:val="3366FF"/>
              </w:rPr>
              <w:t>Sport</w:t>
            </w:r>
            <w:r>
              <w:rPr>
                <w:color w:val="3366FF"/>
              </w:rPr>
              <w:t>/ Athletics</w:t>
            </w:r>
          </w:p>
          <w:p w14:paraId="7D791890" w14:textId="77777777" w:rsidR="003E55E4" w:rsidRPr="00A86741" w:rsidRDefault="003E55E4" w:rsidP="003E55E4">
            <w:pPr>
              <w:spacing w:after="0"/>
              <w:rPr>
                <w:color w:val="3366FF"/>
              </w:rPr>
            </w:pPr>
            <w:r w:rsidRPr="00A86741">
              <w:rPr>
                <w:color w:val="3366FF"/>
              </w:rPr>
              <w:t>Carnival</w:t>
            </w:r>
          </w:p>
          <w:p w14:paraId="29B03CA2" w14:textId="77777777" w:rsidR="003E55E4" w:rsidRDefault="003E55E4" w:rsidP="003E55E4">
            <w:pPr>
              <w:spacing w:after="0"/>
            </w:pPr>
            <w:r>
              <w:t>Food Glorious Food</w:t>
            </w:r>
          </w:p>
          <w:p w14:paraId="6912D11D" w14:textId="77777777" w:rsidR="003E55E4" w:rsidRPr="00A86741" w:rsidRDefault="003E55E4" w:rsidP="003E55E4">
            <w:pPr>
              <w:spacing w:after="0"/>
              <w:rPr>
                <w:color w:val="3366FF"/>
              </w:rPr>
            </w:pPr>
            <w:r w:rsidRPr="00A86741">
              <w:rPr>
                <w:color w:val="3366FF"/>
              </w:rPr>
              <w:t>Hilltop reviews</w:t>
            </w:r>
          </w:p>
          <w:p w14:paraId="11ED4391" w14:textId="77777777" w:rsidR="003E55E4" w:rsidRDefault="003E55E4" w:rsidP="003E55E4">
            <w:pPr>
              <w:spacing w:after="0"/>
            </w:pPr>
            <w:r>
              <w:t>Counsellors</w:t>
            </w:r>
          </w:p>
          <w:p w14:paraId="5645D915" w14:textId="77777777" w:rsidR="003E55E4" w:rsidRPr="00A86741" w:rsidRDefault="003E55E4" w:rsidP="003E55E4">
            <w:pPr>
              <w:spacing w:after="0"/>
              <w:rPr>
                <w:color w:val="3366FF"/>
              </w:rPr>
            </w:pPr>
            <w:r w:rsidRPr="00A86741">
              <w:rPr>
                <w:color w:val="3366FF"/>
              </w:rPr>
              <w:t>Coping Strategies</w:t>
            </w:r>
          </w:p>
          <w:p w14:paraId="50A5D870" w14:textId="77777777" w:rsidR="003E55E4" w:rsidRDefault="003E55E4" w:rsidP="003E55E4">
            <w:pPr>
              <w:spacing w:after="0"/>
            </w:pPr>
            <w:r>
              <w:t>Positive Psychology</w:t>
            </w:r>
          </w:p>
          <w:p w14:paraId="056D2A6A" w14:textId="77777777" w:rsidR="003E55E4" w:rsidRPr="00A86741" w:rsidRDefault="003E55E4" w:rsidP="003E55E4">
            <w:pPr>
              <w:spacing w:after="0"/>
              <w:rPr>
                <w:color w:val="3366FF"/>
              </w:rPr>
            </w:pPr>
            <w:r w:rsidRPr="00A86741">
              <w:rPr>
                <w:color w:val="3366FF"/>
              </w:rPr>
              <w:t>Wear It Purple Day</w:t>
            </w:r>
          </w:p>
          <w:p w14:paraId="4800E34C" w14:textId="77777777" w:rsidR="003E55E4" w:rsidRDefault="003E55E4" w:rsidP="003E55E4">
            <w:pPr>
              <w:spacing w:after="0"/>
            </w:pPr>
            <w:r>
              <w:t>Bullying No Way</w:t>
            </w:r>
          </w:p>
          <w:p w14:paraId="651CBCB0" w14:textId="77777777" w:rsidR="003E55E4" w:rsidRPr="00A86741" w:rsidRDefault="003E55E4" w:rsidP="003E55E4">
            <w:pPr>
              <w:spacing w:after="0"/>
              <w:rPr>
                <w:color w:val="3366FF"/>
              </w:rPr>
            </w:pPr>
            <w:r w:rsidRPr="00A86741">
              <w:rPr>
                <w:color w:val="3366FF"/>
              </w:rPr>
              <w:t>White Ribbon Day</w:t>
            </w:r>
          </w:p>
          <w:p w14:paraId="1A7FA33A" w14:textId="77777777" w:rsidR="003E55E4" w:rsidRDefault="003E55E4" w:rsidP="003E55E4">
            <w:pPr>
              <w:spacing w:after="0"/>
            </w:pPr>
            <w:r>
              <w:t>RUOK?</w:t>
            </w:r>
          </w:p>
          <w:p w14:paraId="2DA5A224" w14:textId="77777777" w:rsidR="003E55E4" w:rsidRDefault="003E55E4" w:rsidP="003E55E4">
            <w:pPr>
              <w:spacing w:after="0"/>
            </w:pPr>
            <w:r w:rsidRPr="00A86741">
              <w:rPr>
                <w:color w:val="3366FF"/>
              </w:rPr>
              <w:t>Drug and Alcohol</w:t>
            </w:r>
            <w:r>
              <w:t xml:space="preserve"> Education</w:t>
            </w:r>
          </w:p>
        </w:tc>
        <w:tc>
          <w:tcPr>
            <w:tcW w:w="706" w:type="pct"/>
          </w:tcPr>
          <w:p w14:paraId="464A1027" w14:textId="77777777" w:rsidR="003E55E4" w:rsidRDefault="003E55E4" w:rsidP="003E55E4">
            <w:pPr>
              <w:spacing w:after="0"/>
            </w:pPr>
            <w:r>
              <w:t>Social skills</w:t>
            </w:r>
          </w:p>
          <w:p w14:paraId="225A702D" w14:textId="77777777" w:rsidR="003E55E4" w:rsidRDefault="003E55E4" w:rsidP="003E55E4">
            <w:pPr>
              <w:spacing w:after="0"/>
            </w:pPr>
          </w:p>
          <w:p w14:paraId="028E372F" w14:textId="77777777" w:rsidR="003E55E4" w:rsidRDefault="003E55E4" w:rsidP="003E55E4">
            <w:pPr>
              <w:spacing w:after="0"/>
            </w:pPr>
            <w:r>
              <w:t>Restorative Practices</w:t>
            </w:r>
          </w:p>
          <w:p w14:paraId="24E7A878" w14:textId="77777777" w:rsidR="003E55E4" w:rsidRDefault="003E55E4" w:rsidP="003E55E4">
            <w:pPr>
              <w:spacing w:after="0"/>
            </w:pPr>
          </w:p>
          <w:p w14:paraId="6636C562" w14:textId="77777777" w:rsidR="003E55E4" w:rsidRDefault="003E55E4" w:rsidP="003E55E4">
            <w:pPr>
              <w:spacing w:after="0"/>
            </w:pPr>
            <w:r>
              <w:t>Positive Psychology</w:t>
            </w:r>
          </w:p>
          <w:p w14:paraId="5E3F1D83" w14:textId="77777777" w:rsidR="003E55E4" w:rsidRDefault="003E55E4" w:rsidP="003E55E4">
            <w:pPr>
              <w:spacing w:after="0"/>
            </w:pPr>
          </w:p>
          <w:p w14:paraId="365C0D6C" w14:textId="77777777" w:rsidR="003E55E4" w:rsidRDefault="003E55E4" w:rsidP="003E55E4">
            <w:pPr>
              <w:spacing w:after="0"/>
            </w:pPr>
            <w:r>
              <w:t>Coping strategies</w:t>
            </w:r>
          </w:p>
          <w:p w14:paraId="047BB21E" w14:textId="77777777" w:rsidR="003E55E4" w:rsidRDefault="003E55E4" w:rsidP="003E55E4">
            <w:pPr>
              <w:spacing w:after="0"/>
            </w:pPr>
          </w:p>
          <w:p w14:paraId="186CE020" w14:textId="77777777" w:rsidR="003E55E4" w:rsidRDefault="003E55E4" w:rsidP="003E55E4">
            <w:pPr>
              <w:spacing w:after="0"/>
            </w:pPr>
            <w:r>
              <w:t>Achieve Anything</w:t>
            </w:r>
          </w:p>
          <w:p w14:paraId="23DEDA15" w14:textId="77777777" w:rsidR="003E55E4" w:rsidRDefault="003E55E4" w:rsidP="003E55E4">
            <w:pPr>
              <w:spacing w:after="0"/>
            </w:pPr>
          </w:p>
          <w:p w14:paraId="376122C8" w14:textId="77777777" w:rsidR="003E55E4" w:rsidRDefault="003E55E4" w:rsidP="003E55E4">
            <w:pPr>
              <w:spacing w:after="0"/>
            </w:pPr>
            <w:r>
              <w:t>Anger Management</w:t>
            </w:r>
          </w:p>
          <w:p w14:paraId="2480339E" w14:textId="77777777" w:rsidR="003E55E4" w:rsidRDefault="003E55E4" w:rsidP="003E55E4">
            <w:pPr>
              <w:spacing w:after="0"/>
            </w:pPr>
          </w:p>
          <w:p w14:paraId="6548E985" w14:textId="77777777" w:rsidR="003E55E4" w:rsidRDefault="003E55E4" w:rsidP="003E55E4">
            <w:pPr>
              <w:spacing w:after="0"/>
            </w:pPr>
            <w:r>
              <w:t>Girls Group</w:t>
            </w:r>
          </w:p>
          <w:p w14:paraId="39338B34" w14:textId="77777777" w:rsidR="003E55E4" w:rsidRDefault="003E55E4" w:rsidP="003E55E4">
            <w:pPr>
              <w:spacing w:after="0"/>
            </w:pPr>
          </w:p>
          <w:p w14:paraId="09701559" w14:textId="77777777" w:rsidR="003E55E4" w:rsidRDefault="003E55E4" w:rsidP="003E55E4">
            <w:pPr>
              <w:spacing w:after="0"/>
            </w:pPr>
            <w:r>
              <w:t xml:space="preserve">Rock and Water </w:t>
            </w:r>
          </w:p>
          <w:p w14:paraId="2BEFA770" w14:textId="77777777" w:rsidR="003E55E4" w:rsidRDefault="003E55E4" w:rsidP="003E55E4">
            <w:pPr>
              <w:spacing w:after="0"/>
            </w:pPr>
          </w:p>
          <w:p w14:paraId="23F73EB1" w14:textId="77777777" w:rsidR="003E55E4" w:rsidRDefault="003E55E4" w:rsidP="003E55E4">
            <w:pPr>
              <w:spacing w:after="0"/>
            </w:pPr>
            <w:r>
              <w:t xml:space="preserve">Drumming </w:t>
            </w:r>
          </w:p>
          <w:p w14:paraId="5F2CDF52" w14:textId="77777777" w:rsidR="003E55E4" w:rsidRDefault="003E55E4" w:rsidP="003E55E4">
            <w:pPr>
              <w:spacing w:after="0"/>
            </w:pPr>
          </w:p>
          <w:p w14:paraId="57803084" w14:textId="77777777" w:rsidR="003E55E4" w:rsidRDefault="003E55E4" w:rsidP="003E55E4">
            <w:pPr>
              <w:spacing w:after="0"/>
            </w:pPr>
            <w:r>
              <w:t>Opportunity Hub</w:t>
            </w:r>
          </w:p>
          <w:p w14:paraId="6BD22F16" w14:textId="77777777" w:rsidR="003E55E4" w:rsidRDefault="003E55E4" w:rsidP="003E55E4">
            <w:pPr>
              <w:spacing w:after="0"/>
            </w:pPr>
          </w:p>
          <w:p w14:paraId="796557D9" w14:textId="77777777" w:rsidR="003E55E4" w:rsidRDefault="003E55E4" w:rsidP="003E55E4">
            <w:pPr>
              <w:spacing w:after="0"/>
            </w:pPr>
            <w:r>
              <w:t>LEAP</w:t>
            </w:r>
          </w:p>
          <w:p w14:paraId="3FE81F96" w14:textId="77777777" w:rsidR="003E55E4" w:rsidRDefault="003E55E4" w:rsidP="003E55E4">
            <w:pPr>
              <w:spacing w:after="0"/>
            </w:pPr>
          </w:p>
          <w:p w14:paraId="47108BCB" w14:textId="77777777" w:rsidR="003E55E4" w:rsidRDefault="003E55E4" w:rsidP="003E55E4">
            <w:pPr>
              <w:spacing w:after="0"/>
            </w:pPr>
          </w:p>
          <w:p w14:paraId="60CFBD77" w14:textId="77777777" w:rsidR="003E55E4" w:rsidRDefault="003E55E4" w:rsidP="003E55E4">
            <w:pPr>
              <w:spacing w:after="0"/>
            </w:pPr>
            <w:r>
              <w:t>Police Youth Liaison Officer</w:t>
            </w:r>
          </w:p>
          <w:p w14:paraId="1CA46C74" w14:textId="77777777" w:rsidR="003E55E4" w:rsidRDefault="003E55E4" w:rsidP="003E55E4">
            <w:pPr>
              <w:spacing w:after="0"/>
            </w:pPr>
          </w:p>
          <w:p w14:paraId="6AE15908" w14:textId="77777777" w:rsidR="003E55E4" w:rsidRDefault="003E55E4" w:rsidP="003E55E4">
            <w:pPr>
              <w:spacing w:after="0"/>
            </w:pPr>
          </w:p>
          <w:p w14:paraId="62217F44" w14:textId="77777777" w:rsidR="003E55E4" w:rsidRDefault="003E55E4" w:rsidP="003E55E4">
            <w:pPr>
              <w:spacing w:after="0"/>
            </w:pPr>
          </w:p>
        </w:tc>
        <w:tc>
          <w:tcPr>
            <w:tcW w:w="706" w:type="pct"/>
          </w:tcPr>
          <w:p w14:paraId="3A1C3B2E" w14:textId="77777777" w:rsidR="003E55E4" w:rsidRDefault="003E55E4" w:rsidP="003E55E4">
            <w:pPr>
              <w:spacing w:after="0"/>
            </w:pPr>
            <w:r>
              <w:t>Social Media</w:t>
            </w:r>
          </w:p>
          <w:p w14:paraId="681727A1" w14:textId="77777777" w:rsidR="003E55E4" w:rsidRDefault="003E55E4" w:rsidP="003E55E4">
            <w:pPr>
              <w:spacing w:after="0"/>
            </w:pPr>
          </w:p>
          <w:p w14:paraId="5B58361C" w14:textId="77777777" w:rsidR="003E55E4" w:rsidRDefault="003E55E4" w:rsidP="003E55E4">
            <w:pPr>
              <w:spacing w:after="0"/>
            </w:pPr>
            <w:r>
              <w:t>Word processing</w:t>
            </w:r>
          </w:p>
          <w:p w14:paraId="6220BC37" w14:textId="77777777" w:rsidR="003E55E4" w:rsidRDefault="003E55E4" w:rsidP="003E55E4">
            <w:pPr>
              <w:spacing w:after="0"/>
            </w:pPr>
          </w:p>
          <w:p w14:paraId="1CE18757" w14:textId="77777777" w:rsidR="003E55E4" w:rsidRDefault="003E55E4" w:rsidP="003E55E4">
            <w:pPr>
              <w:spacing w:after="0"/>
            </w:pPr>
            <w:r>
              <w:t>I pad</w:t>
            </w:r>
          </w:p>
          <w:p w14:paraId="1311C3AA" w14:textId="77777777" w:rsidR="003E55E4" w:rsidRDefault="003E55E4" w:rsidP="003E55E4">
            <w:pPr>
              <w:spacing w:after="0"/>
            </w:pPr>
          </w:p>
          <w:p w14:paraId="2B8C06EF" w14:textId="77777777" w:rsidR="003E55E4" w:rsidRDefault="003E55E4" w:rsidP="003E55E4">
            <w:pPr>
              <w:spacing w:after="0"/>
            </w:pPr>
            <w:r>
              <w:t>Explicit teaching of website content</w:t>
            </w:r>
          </w:p>
          <w:p w14:paraId="35F2BED0" w14:textId="77777777" w:rsidR="003E55E4" w:rsidRDefault="003E55E4" w:rsidP="003E55E4">
            <w:pPr>
              <w:spacing w:after="0"/>
            </w:pPr>
          </w:p>
          <w:p w14:paraId="3C8F100C" w14:textId="77777777" w:rsidR="003E55E4" w:rsidRDefault="003E55E4" w:rsidP="003E55E4">
            <w:pPr>
              <w:spacing w:after="0"/>
            </w:pPr>
            <w:r>
              <w:t>Critical thinking skills</w:t>
            </w:r>
          </w:p>
          <w:p w14:paraId="57677812" w14:textId="77777777" w:rsidR="003E55E4" w:rsidRDefault="003E55E4" w:rsidP="003E55E4">
            <w:pPr>
              <w:spacing w:after="0"/>
            </w:pPr>
          </w:p>
          <w:p w14:paraId="377630F8" w14:textId="77777777" w:rsidR="003E55E4" w:rsidRDefault="003E55E4" w:rsidP="003E55E4">
            <w:pPr>
              <w:spacing w:after="0"/>
            </w:pPr>
            <w:r>
              <w:t>Filming</w:t>
            </w:r>
          </w:p>
          <w:p w14:paraId="4C41592F" w14:textId="77777777" w:rsidR="003E55E4" w:rsidRDefault="003E55E4" w:rsidP="003E55E4">
            <w:pPr>
              <w:spacing w:after="0"/>
            </w:pPr>
          </w:p>
          <w:p w14:paraId="020737AB" w14:textId="77777777" w:rsidR="003E55E4" w:rsidRDefault="003E55E4" w:rsidP="003E55E4">
            <w:pPr>
              <w:spacing w:after="0"/>
            </w:pPr>
            <w:r>
              <w:t>Explicit teaching of effective use of website content</w:t>
            </w:r>
          </w:p>
          <w:p w14:paraId="69EF5B8F" w14:textId="77777777" w:rsidR="003E55E4" w:rsidRDefault="003E55E4" w:rsidP="003E55E4">
            <w:pPr>
              <w:spacing w:after="0"/>
            </w:pPr>
          </w:p>
          <w:p w14:paraId="1E985EE3" w14:textId="77777777" w:rsidR="003E55E4" w:rsidRDefault="003E55E4" w:rsidP="003E55E4">
            <w:pPr>
              <w:spacing w:after="0"/>
            </w:pPr>
            <w:r>
              <w:t>Music Technology</w:t>
            </w:r>
          </w:p>
          <w:p w14:paraId="567CDE17" w14:textId="77777777" w:rsidR="003E55E4" w:rsidRDefault="003E55E4" w:rsidP="003E55E4">
            <w:pPr>
              <w:spacing w:after="0"/>
            </w:pPr>
          </w:p>
          <w:p w14:paraId="0F60F7F8" w14:textId="287BB8AE" w:rsidR="003E55E4" w:rsidRDefault="003E55E4" w:rsidP="003E55E4">
            <w:pPr>
              <w:spacing w:after="0"/>
            </w:pPr>
            <w:r>
              <w:t xml:space="preserve">Multimedia </w:t>
            </w:r>
            <w:r w:rsidR="00FA5885">
              <w:t>(Film</w:t>
            </w:r>
            <w:r>
              <w:t xml:space="preserve"> / Animation)</w:t>
            </w:r>
          </w:p>
          <w:p w14:paraId="16158FE1" w14:textId="77777777" w:rsidR="003E55E4" w:rsidRDefault="003E55E4" w:rsidP="003E55E4">
            <w:pPr>
              <w:spacing w:after="0"/>
            </w:pPr>
          </w:p>
          <w:p w14:paraId="543D79B6" w14:textId="77777777" w:rsidR="003E55E4" w:rsidRDefault="003E55E4" w:rsidP="003E55E4">
            <w:pPr>
              <w:spacing w:after="0"/>
            </w:pPr>
            <w:r>
              <w:t>Interactive Whiteboard</w:t>
            </w:r>
          </w:p>
        </w:tc>
        <w:tc>
          <w:tcPr>
            <w:tcW w:w="706" w:type="pct"/>
          </w:tcPr>
          <w:p w14:paraId="55732630" w14:textId="77777777" w:rsidR="003E55E4" w:rsidRDefault="003E55E4" w:rsidP="003E55E4">
            <w:pPr>
              <w:spacing w:after="0"/>
            </w:pPr>
            <w:r>
              <w:t>Excursions</w:t>
            </w:r>
          </w:p>
          <w:p w14:paraId="3D8CEEEE" w14:textId="77777777" w:rsidR="003E55E4" w:rsidRDefault="003E55E4" w:rsidP="003E55E4">
            <w:pPr>
              <w:spacing w:after="0"/>
            </w:pPr>
          </w:p>
          <w:p w14:paraId="62B70516" w14:textId="77777777" w:rsidR="003E55E4" w:rsidRDefault="003E55E4" w:rsidP="003E55E4">
            <w:pPr>
              <w:spacing w:after="0"/>
            </w:pPr>
            <w:r>
              <w:t>Harmony Day</w:t>
            </w:r>
          </w:p>
          <w:p w14:paraId="224B1B06" w14:textId="77777777" w:rsidR="003E55E4" w:rsidRDefault="003E55E4" w:rsidP="003E55E4">
            <w:pPr>
              <w:spacing w:after="0"/>
            </w:pPr>
          </w:p>
          <w:p w14:paraId="36587C96" w14:textId="77777777" w:rsidR="003E55E4" w:rsidRDefault="003E55E4" w:rsidP="003E55E4">
            <w:pPr>
              <w:spacing w:after="0"/>
            </w:pPr>
            <w:r>
              <w:t xml:space="preserve">Fund Raising </w:t>
            </w:r>
          </w:p>
          <w:p w14:paraId="7BB0644D" w14:textId="77777777" w:rsidR="003E55E4" w:rsidRDefault="003E55E4" w:rsidP="003E55E4">
            <w:pPr>
              <w:spacing w:after="0"/>
            </w:pPr>
          </w:p>
          <w:p w14:paraId="3904C7B2" w14:textId="77777777" w:rsidR="003E55E4" w:rsidRDefault="003E55E4" w:rsidP="003E55E4">
            <w:pPr>
              <w:spacing w:after="0"/>
            </w:pPr>
            <w:r>
              <w:t>Cambodia</w:t>
            </w:r>
          </w:p>
          <w:p w14:paraId="076DDCE5" w14:textId="77777777" w:rsidR="003E55E4" w:rsidRDefault="003E55E4" w:rsidP="003E55E4">
            <w:pPr>
              <w:spacing w:after="0"/>
            </w:pPr>
          </w:p>
          <w:p w14:paraId="1CBFFFE1" w14:textId="77777777" w:rsidR="003E55E4" w:rsidRDefault="003E55E4" w:rsidP="003E55E4">
            <w:pPr>
              <w:spacing w:after="0"/>
            </w:pPr>
            <w:r>
              <w:t>Current Affairs</w:t>
            </w:r>
          </w:p>
          <w:p w14:paraId="0CC8278B" w14:textId="77777777" w:rsidR="003E55E4" w:rsidRDefault="003E55E4" w:rsidP="003E55E4">
            <w:pPr>
              <w:spacing w:after="0"/>
            </w:pPr>
          </w:p>
          <w:p w14:paraId="75A1B9F0" w14:textId="77777777" w:rsidR="003E55E4" w:rsidRDefault="003E55E4" w:rsidP="003E55E4">
            <w:pPr>
              <w:spacing w:after="0"/>
            </w:pPr>
            <w:r>
              <w:t>SRC</w:t>
            </w:r>
          </w:p>
          <w:p w14:paraId="5867201A" w14:textId="77777777" w:rsidR="003E55E4" w:rsidRDefault="003E55E4" w:rsidP="003E55E4">
            <w:pPr>
              <w:spacing w:after="0"/>
            </w:pPr>
          </w:p>
          <w:p w14:paraId="07475F4A" w14:textId="77777777" w:rsidR="003E55E4" w:rsidRDefault="003E55E4" w:rsidP="003E55E4">
            <w:pPr>
              <w:spacing w:after="0"/>
            </w:pPr>
            <w:r>
              <w:t>Food Programs</w:t>
            </w:r>
          </w:p>
          <w:p w14:paraId="581F4531" w14:textId="77777777" w:rsidR="003E55E4" w:rsidRDefault="003E55E4" w:rsidP="003E55E4">
            <w:pPr>
              <w:spacing w:after="0"/>
            </w:pPr>
          </w:p>
          <w:p w14:paraId="42AE4231" w14:textId="77777777" w:rsidR="003E55E4" w:rsidRDefault="003E55E4" w:rsidP="003E55E4">
            <w:pPr>
              <w:spacing w:after="0"/>
            </w:pPr>
            <w:r>
              <w:t>Cultural Awareness</w:t>
            </w:r>
          </w:p>
          <w:p w14:paraId="322E2007" w14:textId="77777777" w:rsidR="003E55E4" w:rsidRDefault="003E55E4" w:rsidP="003E55E4">
            <w:pPr>
              <w:spacing w:after="0"/>
            </w:pPr>
          </w:p>
          <w:p w14:paraId="2E8F784C" w14:textId="77777777" w:rsidR="003E55E4" w:rsidRDefault="003E55E4" w:rsidP="003E55E4">
            <w:pPr>
              <w:spacing w:after="0"/>
            </w:pPr>
            <w:r>
              <w:t>HSC</w:t>
            </w:r>
          </w:p>
          <w:p w14:paraId="5106C796" w14:textId="77777777" w:rsidR="003E55E4" w:rsidRDefault="003E55E4" w:rsidP="003E55E4">
            <w:pPr>
              <w:spacing w:after="0"/>
            </w:pPr>
          </w:p>
          <w:p w14:paraId="0C23A661" w14:textId="77777777" w:rsidR="003E55E4" w:rsidRDefault="003E55E4" w:rsidP="003E55E4">
            <w:pPr>
              <w:spacing w:after="0"/>
            </w:pPr>
            <w:r>
              <w:t>Community Affairs</w:t>
            </w:r>
          </w:p>
          <w:p w14:paraId="4EB28565" w14:textId="77777777" w:rsidR="003E55E4" w:rsidRDefault="003E55E4" w:rsidP="003E55E4">
            <w:pPr>
              <w:spacing w:after="0"/>
            </w:pPr>
          </w:p>
          <w:p w14:paraId="31B44956" w14:textId="77777777" w:rsidR="003E55E4" w:rsidRDefault="003E55E4" w:rsidP="003E55E4">
            <w:pPr>
              <w:spacing w:after="0"/>
            </w:pPr>
          </w:p>
          <w:p w14:paraId="6C6E3351" w14:textId="77777777" w:rsidR="003E55E4" w:rsidRDefault="003E55E4" w:rsidP="003E55E4">
            <w:pPr>
              <w:spacing w:after="0"/>
            </w:pPr>
          </w:p>
          <w:p w14:paraId="5AB3AAC7" w14:textId="77777777" w:rsidR="003E55E4" w:rsidRDefault="003E55E4" w:rsidP="003E55E4">
            <w:pPr>
              <w:spacing w:after="0"/>
            </w:pPr>
          </w:p>
          <w:p w14:paraId="39AB73FA" w14:textId="77777777" w:rsidR="003E55E4" w:rsidRDefault="003E55E4" w:rsidP="003E55E4">
            <w:pPr>
              <w:spacing w:after="0"/>
            </w:pPr>
          </w:p>
          <w:p w14:paraId="018D15F1" w14:textId="77777777" w:rsidR="003E55E4" w:rsidRDefault="003E55E4" w:rsidP="003E55E4">
            <w:pPr>
              <w:spacing w:after="0"/>
            </w:pPr>
          </w:p>
          <w:p w14:paraId="1C8F630B" w14:textId="77777777" w:rsidR="003E55E4" w:rsidRDefault="003E55E4" w:rsidP="003E55E4">
            <w:pPr>
              <w:spacing w:after="0"/>
            </w:pPr>
          </w:p>
        </w:tc>
      </w:tr>
    </w:tbl>
    <w:p w14:paraId="38DA90BD" w14:textId="77777777" w:rsidR="005457AF" w:rsidRDefault="005457AF" w:rsidP="003E55E4">
      <w:pPr>
        <w:spacing w:after="0"/>
      </w:pPr>
    </w:p>
    <w:sectPr w:rsidR="005457AF" w:rsidSect="003E55E4">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E4"/>
    <w:rsid w:val="003778AE"/>
    <w:rsid w:val="003E55E4"/>
    <w:rsid w:val="005457AF"/>
    <w:rsid w:val="00732F0B"/>
    <w:rsid w:val="00A228E0"/>
    <w:rsid w:val="00C6320B"/>
    <w:rsid w:val="00D237A5"/>
    <w:rsid w:val="00F96B88"/>
    <w:rsid w:val="00FA58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871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E4"/>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5E4"/>
    <w:rPr>
      <w:sz w:val="22"/>
      <w:szCs w:val="22"/>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55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5E4"/>
    <w:rPr>
      <w:rFonts w:ascii="Lucida Grande" w:hAnsi="Lucida Grande" w:cs="Lucida Grande"/>
      <w:sz w:val="18"/>
      <w:szCs w:val="18"/>
      <w:lang w:eastAsia="en-AU"/>
    </w:rPr>
  </w:style>
  <w:style w:type="table" w:customStyle="1" w:styleId="TableGrid1">
    <w:name w:val="Table Grid1"/>
    <w:basedOn w:val="TableNormal"/>
    <w:next w:val="TableGrid"/>
    <w:uiPriority w:val="59"/>
    <w:rsid w:val="003E55E4"/>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5E4"/>
    <w:pPr>
      <w:spacing w:after="0" w:line="240" w:lineRule="auto"/>
      <w:ind w:left="720"/>
      <w:contextualSpacing/>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wmf"/><Relationship Id="rId9" Type="http://schemas.openxmlformats.org/officeDocument/2006/relationships/image" Target="media/image6.jpe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Prumm, Kate</cp:lastModifiedBy>
  <cp:revision>2</cp:revision>
  <dcterms:created xsi:type="dcterms:W3CDTF">2016-06-28T00:55:00Z</dcterms:created>
  <dcterms:modified xsi:type="dcterms:W3CDTF">2016-06-28T00:55:00Z</dcterms:modified>
</cp:coreProperties>
</file>