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959"/>
        <w:gridCol w:w="4103"/>
        <w:gridCol w:w="992"/>
        <w:gridCol w:w="3686"/>
      </w:tblGrid>
      <w:tr w:rsidR="008F6A2A" w:rsidRPr="0047183A">
        <w:trPr>
          <w:trHeight w:val="841"/>
        </w:trPr>
        <w:tc>
          <w:tcPr>
            <w:tcW w:w="912" w:type="pct"/>
            <w:vMerge w:val="restart"/>
            <w:tcBorders>
              <w:top w:val="nil"/>
              <w:left w:val="nil"/>
            </w:tcBorders>
            <w:shd w:val="clear" w:color="auto" w:fill="auto"/>
          </w:tcPr>
          <w:p w:rsidR="008F6A2A" w:rsidRPr="0047183A" w:rsidRDefault="008F6A2A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0CD42549" wp14:editId="41A7245C">
                  <wp:extent cx="1085215" cy="1078865"/>
                  <wp:effectExtent l="0" t="0" r="635" b="698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8" w:type="pct"/>
            <w:gridSpan w:val="3"/>
            <w:shd w:val="clear" w:color="auto" w:fill="B8CCE4" w:themeFill="accent1" w:themeFillTint="66"/>
            <w:vAlign w:val="center"/>
          </w:tcPr>
          <w:p w:rsidR="008F6A2A" w:rsidRPr="0047183A" w:rsidRDefault="008F6A2A" w:rsidP="008F6A2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Dorchester </w:t>
            </w:r>
            <w:r w:rsidR="00E17EE7"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>
              <w:rPr>
                <w:rFonts w:ascii="Arial" w:hAnsi="Arial" w:cs="Arial"/>
                <w:b/>
                <w:sz w:val="20"/>
                <w:szCs w:val="20"/>
              </w:rPr>
              <w:t>Teaching and Learning Program</w:t>
            </w:r>
          </w:p>
        </w:tc>
      </w:tr>
      <w:tr w:rsidR="008F6A2A" w:rsidRPr="0047183A" w:rsidTr="006F6E0F">
        <w:trPr>
          <w:trHeight w:val="841"/>
        </w:trPr>
        <w:tc>
          <w:tcPr>
            <w:tcW w:w="912" w:type="pct"/>
            <w:vMerge/>
            <w:tcBorders>
              <w:left w:val="nil"/>
              <w:bottom w:val="single" w:sz="4" w:space="0" w:color="000000" w:themeColor="text1"/>
            </w:tcBorders>
            <w:shd w:val="clear" w:color="auto" w:fill="auto"/>
          </w:tcPr>
          <w:p w:rsidR="008F6A2A" w:rsidRPr="0047183A" w:rsidRDefault="008F6A2A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72" w:type="pct"/>
            <w:gridSpan w:val="2"/>
            <w:shd w:val="clear" w:color="auto" w:fill="DBE5F1" w:themeFill="accent1" w:themeFillTint="33"/>
            <w:vAlign w:val="center"/>
          </w:tcPr>
          <w:p w:rsidR="00765B80" w:rsidRDefault="007668B5" w:rsidP="005E62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</w:t>
            </w:r>
            <w:r w:rsidR="00D65EFD">
              <w:rPr>
                <w:rFonts w:ascii="Arial" w:hAnsi="Arial" w:cs="Arial"/>
                <w:b/>
                <w:sz w:val="20"/>
                <w:szCs w:val="20"/>
              </w:rPr>
              <w:t>ctional Literacy (Responding)</w:t>
            </w:r>
          </w:p>
          <w:p w:rsidR="00765B80" w:rsidRDefault="00765B80" w:rsidP="005E62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765B80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Century Learner, Global Citizen </w:t>
            </w:r>
          </w:p>
          <w:p w:rsidR="00AF49DC" w:rsidRDefault="00765B80" w:rsidP="00765B8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Documentary: </w:t>
            </w:r>
            <w:r w:rsidR="002657EA">
              <w:rPr>
                <w:rFonts w:ascii="Arial" w:hAnsi="Arial" w:cs="Arial"/>
                <w:b/>
                <w:sz w:val="20"/>
                <w:szCs w:val="20"/>
              </w:rPr>
              <w:t>Australia: The Story of Us</w:t>
            </w:r>
          </w:p>
          <w:p w:rsidR="008F6A2A" w:rsidRPr="0047183A" w:rsidRDefault="00AF49DC" w:rsidP="005E6217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Risk Level:</w:t>
            </w:r>
            <w:r w:rsidR="007668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D3697">
              <w:rPr>
                <w:rFonts w:ascii="Arial" w:hAnsi="Arial" w:cs="Arial"/>
                <w:b/>
                <w:sz w:val="20"/>
                <w:szCs w:val="20"/>
              </w:rPr>
              <w:t xml:space="preserve">Low </w:t>
            </w:r>
          </w:p>
        </w:tc>
        <w:tc>
          <w:tcPr>
            <w:tcW w:w="1716" w:type="pct"/>
            <w:shd w:val="clear" w:color="auto" w:fill="DBE5F1" w:themeFill="accent1" w:themeFillTint="33"/>
            <w:vAlign w:val="center"/>
          </w:tcPr>
          <w:p w:rsidR="006F6E0F" w:rsidRDefault="00E17EE7" w:rsidP="007668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Duration: </w:t>
            </w:r>
            <w:r w:rsidR="005E6217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7668B5">
              <w:rPr>
                <w:rFonts w:ascii="Arial" w:hAnsi="Arial" w:cs="Arial"/>
                <w:b/>
                <w:sz w:val="20"/>
                <w:szCs w:val="20"/>
              </w:rPr>
              <w:t xml:space="preserve"> Weeks</w:t>
            </w:r>
          </w:p>
          <w:p w:rsidR="008F6A2A" w:rsidRDefault="006F6E0F" w:rsidP="007668B5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2 - 3 lessons over a week/fortnight</w:t>
            </w:r>
          </w:p>
          <w:p w:rsidR="007668B5" w:rsidRPr="0047183A" w:rsidRDefault="007668B5" w:rsidP="005E621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</w:t>
            </w:r>
            <w:r w:rsidR="005E6217">
              <w:rPr>
                <w:rFonts w:ascii="Arial" w:hAnsi="Arial" w:cs="Arial"/>
                <w:b/>
                <w:sz w:val="20"/>
                <w:szCs w:val="20"/>
              </w:rPr>
              <w:t xml:space="preserve"> Ernie</w:t>
            </w:r>
          </w:p>
        </w:tc>
      </w:tr>
      <w:tr w:rsidR="0017523E" w:rsidRPr="0047183A">
        <w:tc>
          <w:tcPr>
            <w:tcW w:w="912" w:type="pct"/>
            <w:shd w:val="clear" w:color="auto" w:fill="DBE5F1" w:themeFill="accent1" w:themeFillTint="33"/>
            <w:vAlign w:val="center"/>
          </w:tcPr>
          <w:p w:rsidR="007668B5" w:rsidRPr="0047183A" w:rsidRDefault="007668B5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Syllabus Outcomes</w:t>
            </w:r>
          </w:p>
          <w:p w:rsidR="007668B5" w:rsidRPr="0047183A" w:rsidRDefault="007668B5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668B5" w:rsidRPr="0047183A" w:rsidRDefault="007668B5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Stage </w:t>
            </w:r>
            <w:r w:rsidR="0095288A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7668B5" w:rsidRPr="0047183A" w:rsidRDefault="007668B5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5288A" w:rsidRDefault="0095288A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Functional Literacy</w:t>
            </w:r>
          </w:p>
          <w:p w:rsidR="0095288A" w:rsidRDefault="0095288A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Global Citizen</w:t>
            </w:r>
          </w:p>
          <w:p w:rsidR="00F70E45" w:rsidRPr="0047183A" w:rsidRDefault="0095288A" w:rsidP="0095288A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95288A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Century Learner</w:t>
            </w:r>
          </w:p>
        </w:tc>
        <w:tc>
          <w:tcPr>
            <w:tcW w:w="4088" w:type="pct"/>
            <w:gridSpan w:val="3"/>
            <w:shd w:val="clear" w:color="auto" w:fill="auto"/>
          </w:tcPr>
          <w:p w:rsidR="00620FB4" w:rsidRPr="00224A48" w:rsidRDefault="007668B5" w:rsidP="007668B5">
            <w:pPr>
              <w:spacing w:before="120" w:after="12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224A48">
              <w:rPr>
                <w:rFonts w:ascii="Arial" w:hAnsi="Arial" w:cs="Arial"/>
                <w:i/>
                <w:sz w:val="20"/>
                <w:szCs w:val="20"/>
                <w:u w:val="single"/>
              </w:rPr>
              <w:t>A student:</w:t>
            </w:r>
          </w:p>
          <w:p w:rsidR="007668B5" w:rsidRPr="00224A48" w:rsidRDefault="00620FB4" w:rsidP="007668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 w:cs="Arial"/>
                <w:sz w:val="20"/>
                <w:szCs w:val="20"/>
              </w:rPr>
              <w:t>Functional Literacy</w:t>
            </w:r>
          </w:p>
          <w:p w:rsidR="00620FB4" w:rsidRPr="00224A48" w:rsidRDefault="00620FB4" w:rsidP="007668B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224A48">
              <w:rPr>
                <w:rFonts w:ascii="Arial" w:hAnsi="Arial" w:cs="Arial"/>
                <w:b/>
                <w:sz w:val="20"/>
                <w:szCs w:val="20"/>
              </w:rPr>
              <w:t>EN4</w:t>
            </w:r>
            <w:r w:rsidR="007668B5" w:rsidRPr="00224A48">
              <w:rPr>
                <w:rFonts w:ascii="Arial" w:hAnsi="Arial" w:cs="Arial"/>
                <w:b/>
                <w:sz w:val="20"/>
                <w:szCs w:val="20"/>
              </w:rPr>
              <w:t xml:space="preserve">-1A </w:t>
            </w:r>
            <w:r w:rsidRPr="00224A48">
              <w:rPr>
                <w:rFonts w:ascii="Arial" w:hAnsi="Arial"/>
                <w:sz w:val="20"/>
              </w:rPr>
              <w:t>Responds to texts for understanding, interpretation, critical analysis, imaginative expression and pleasure</w:t>
            </w:r>
            <w:r w:rsidRPr="00224A4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620FB4" w:rsidRPr="00224A48" w:rsidRDefault="00620FB4" w:rsidP="007668B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 w:cs="Arial"/>
                <w:b/>
                <w:sz w:val="20"/>
                <w:szCs w:val="20"/>
              </w:rPr>
              <w:t>EN4</w:t>
            </w:r>
            <w:r w:rsidR="007668B5" w:rsidRPr="00224A48">
              <w:rPr>
                <w:rFonts w:ascii="Arial" w:hAnsi="Arial" w:cs="Arial"/>
                <w:b/>
                <w:sz w:val="20"/>
                <w:szCs w:val="20"/>
              </w:rPr>
              <w:t>-2A</w:t>
            </w:r>
            <w:r w:rsidR="007668B5" w:rsidRPr="00224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4A48">
              <w:rPr>
                <w:rFonts w:ascii="Arial" w:hAnsi="Arial"/>
                <w:sz w:val="20"/>
              </w:rPr>
              <w:t>Effectively uses a widening range of processes, skills, strategies and knowledge for responding to texts in different media and technologies</w:t>
            </w:r>
            <w:r w:rsidRPr="00224A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20FB4" w:rsidRPr="00224A48" w:rsidRDefault="00620FB4" w:rsidP="00620FB4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 w:cs="Arial"/>
                <w:sz w:val="20"/>
                <w:szCs w:val="20"/>
              </w:rPr>
              <w:t>21</w:t>
            </w:r>
            <w:r w:rsidRPr="00224A4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224A48">
              <w:rPr>
                <w:rFonts w:ascii="Arial" w:hAnsi="Arial" w:cs="Arial"/>
                <w:sz w:val="20"/>
                <w:szCs w:val="20"/>
              </w:rPr>
              <w:t xml:space="preserve"> Century Learner</w:t>
            </w:r>
          </w:p>
          <w:p w:rsidR="00620FB4" w:rsidRPr="00224A48" w:rsidRDefault="00620FB4" w:rsidP="00620FB4">
            <w:pPr>
              <w:shd w:val="clear" w:color="auto" w:fill="FFFFFF" w:themeFill="background1"/>
              <w:spacing w:before="120" w:after="120"/>
              <w:rPr>
                <w:rFonts w:ascii="Arial" w:hAnsi="Arial"/>
                <w:sz w:val="20"/>
              </w:rPr>
            </w:pPr>
            <w:r w:rsidRPr="009A2117">
              <w:rPr>
                <w:rFonts w:ascii="Arial" w:hAnsi="Arial"/>
                <w:b/>
                <w:sz w:val="20"/>
              </w:rPr>
              <w:t>Technology: 4.2.2</w:t>
            </w:r>
            <w:r w:rsidRPr="00224A48">
              <w:rPr>
                <w:rFonts w:ascii="Arial" w:hAnsi="Arial"/>
                <w:sz w:val="20"/>
              </w:rPr>
              <w:t xml:space="preserve"> Selects, analyses, presents and applies research and experimentation from a variety of sources</w:t>
            </w:r>
          </w:p>
          <w:p w:rsidR="00620FB4" w:rsidRPr="00224A48" w:rsidRDefault="00620FB4" w:rsidP="00620FB4">
            <w:pPr>
              <w:shd w:val="clear" w:color="auto" w:fill="FFFFFF" w:themeFill="background1"/>
              <w:spacing w:before="120" w:after="120"/>
              <w:rPr>
                <w:rFonts w:ascii="Arial" w:hAnsi="Arial"/>
                <w:sz w:val="20"/>
              </w:rPr>
            </w:pPr>
            <w:r w:rsidRPr="00224A48">
              <w:rPr>
                <w:rFonts w:ascii="Arial" w:hAnsi="Arial"/>
                <w:sz w:val="20"/>
              </w:rPr>
              <w:t>Global Citizen</w:t>
            </w:r>
          </w:p>
          <w:p w:rsidR="00F70E45" w:rsidRPr="0047183A" w:rsidRDefault="00224A48" w:rsidP="00620FB4">
            <w:pPr>
              <w:shd w:val="clear" w:color="auto" w:fill="FFFFFF" w:themeFill="background1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A2117">
              <w:rPr>
                <w:rFonts w:ascii="Arial" w:hAnsi="Arial"/>
                <w:b/>
                <w:sz w:val="20"/>
              </w:rPr>
              <w:t>EN4-7D</w:t>
            </w:r>
            <w:r w:rsidR="00620FB4" w:rsidRPr="00224A48">
              <w:rPr>
                <w:rFonts w:ascii="Arial" w:hAnsi="Arial"/>
                <w:sz w:val="20"/>
              </w:rPr>
              <w:t xml:space="preserve"> </w:t>
            </w:r>
            <w:r w:rsidRPr="00224A48">
              <w:rPr>
                <w:rFonts w:ascii="Arial" w:hAnsi="Arial"/>
                <w:sz w:val="20"/>
              </w:rPr>
              <w:t>Demonstrates understanding of how texts can express aspects of their broadening world and their relationships within it</w:t>
            </w:r>
          </w:p>
        </w:tc>
      </w:tr>
      <w:tr w:rsidR="007668B5" w:rsidRPr="0047183A" w:rsidTr="00247F13">
        <w:tc>
          <w:tcPr>
            <w:tcW w:w="912" w:type="pct"/>
            <w:shd w:val="clear" w:color="auto" w:fill="DBE5F1" w:themeFill="accent1" w:themeFillTint="33"/>
            <w:vAlign w:val="center"/>
          </w:tcPr>
          <w:p w:rsidR="007668B5" w:rsidRPr="008F6A2A" w:rsidRDefault="007668B5" w:rsidP="008F6A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F6A2A">
              <w:rPr>
                <w:rFonts w:ascii="Arial" w:hAnsi="Arial" w:cs="Arial"/>
                <w:b/>
                <w:sz w:val="20"/>
                <w:szCs w:val="20"/>
                <w:u w:val="single"/>
              </w:rPr>
              <w:t>Connectedness</w:t>
            </w:r>
          </w:p>
          <w:p w:rsidR="007668B5" w:rsidRPr="0047183A" w:rsidRDefault="007668B5" w:rsidP="008F6A2A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Why does this learning matter?</w:t>
            </w:r>
          </w:p>
        </w:tc>
        <w:tc>
          <w:tcPr>
            <w:tcW w:w="1910" w:type="pct"/>
            <w:tcBorders>
              <w:right w:val="single" w:sz="4" w:space="0" w:color="auto"/>
            </w:tcBorders>
            <w:shd w:val="clear" w:color="auto" w:fill="auto"/>
          </w:tcPr>
          <w:p w:rsidR="007668B5" w:rsidRPr="00AF420D" w:rsidRDefault="007668B5" w:rsidP="00D65EFD">
            <w:pPr>
              <w:spacing w:before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to:</w:t>
            </w:r>
          </w:p>
          <w:p w:rsidR="00F17381" w:rsidRPr="00FF7EE1" w:rsidRDefault="00FF7EE1" w:rsidP="00FF7EE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 different strategies to comprehend visual/audio and texts and use different strategies to find the meaning of unfamiliar words</w:t>
            </w:r>
          </w:p>
          <w:p w:rsidR="00224A48" w:rsidRPr="00224A48" w:rsidRDefault="00224A48" w:rsidP="00F17381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ind w:left="397"/>
              <w:rPr>
                <w:rFonts w:ascii="Arial" w:hAnsi="Arial" w:cs="Arial"/>
                <w:sz w:val="20"/>
                <w:szCs w:val="20"/>
              </w:rPr>
            </w:pPr>
            <w:r w:rsidRPr="00224A48">
              <w:rPr>
                <w:rFonts w:ascii="Arial" w:hAnsi="Arial" w:cs="Arial"/>
                <w:sz w:val="20"/>
                <w:szCs w:val="20"/>
              </w:rPr>
              <w:t>select and use different st</w:t>
            </w:r>
            <w:r w:rsidR="00F17381">
              <w:rPr>
                <w:rFonts w:ascii="Arial" w:hAnsi="Arial" w:cs="Arial"/>
                <w:sz w:val="20"/>
                <w:szCs w:val="20"/>
              </w:rPr>
              <w:t xml:space="preserve">rategies for comprehending text, decoding and inferring meaning from new words  </w:t>
            </w:r>
          </w:p>
          <w:p w:rsidR="007668B5" w:rsidRPr="00F17381" w:rsidRDefault="007668B5" w:rsidP="00F17381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17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:rsidR="007668B5" w:rsidRPr="00AF420D" w:rsidRDefault="007668B5" w:rsidP="00D65EFD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</w:rPr>
            </w:pPr>
            <w:r w:rsidRPr="00AF420D">
              <w:rPr>
                <w:rFonts w:ascii="Arial" w:hAnsi="Arial" w:cs="Arial"/>
                <w:b/>
                <w:sz w:val="18"/>
                <w:szCs w:val="20"/>
              </w:rPr>
              <w:t>Students learn about:</w:t>
            </w:r>
          </w:p>
          <w:p w:rsidR="00FF7EE1" w:rsidRDefault="00CC7716" w:rsidP="00D047B3">
            <w:pPr>
              <w:pStyle w:val="ListParagraph"/>
              <w:numPr>
                <w:ilvl w:val="0"/>
                <w:numId w:val="29"/>
              </w:numPr>
              <w:spacing w:before="120" w:after="120"/>
              <w:ind w:left="397"/>
              <w:rPr>
                <w:rFonts w:ascii="Arial" w:hAnsi="Arial" w:cs="Verdana"/>
                <w:color w:val="0E0E0E"/>
                <w:sz w:val="20"/>
                <w:szCs w:val="28"/>
                <w:lang w:val="en-US"/>
              </w:rPr>
            </w:pPr>
            <w:r>
              <w:rPr>
                <w:rFonts w:ascii="Arial" w:hAnsi="Arial" w:cs="Verdana"/>
                <w:color w:val="0E0E0E"/>
                <w:sz w:val="20"/>
                <w:szCs w:val="28"/>
                <w:lang w:val="en-US"/>
              </w:rPr>
              <w:t xml:space="preserve">Australian history and are provided an opportunity for inquiring </w:t>
            </w:r>
            <w:r w:rsidR="00613761">
              <w:rPr>
                <w:rFonts w:ascii="Arial" w:hAnsi="Arial" w:cs="Verdana"/>
                <w:color w:val="0E0E0E"/>
                <w:sz w:val="20"/>
                <w:szCs w:val="28"/>
                <w:lang w:val="en-US"/>
              </w:rPr>
              <w:t>between past and present and the relationship between.</w:t>
            </w:r>
          </w:p>
          <w:p w:rsidR="00FF7EE1" w:rsidRDefault="00FF7EE1" w:rsidP="00FF7EE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120"/>
              <w:ind w:left="39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Topics include</w:t>
            </w:r>
          </w:p>
          <w:p w:rsidR="006F6E0F" w:rsidRDefault="006F6E0F" w:rsidP="00FF7EE1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/>
              <w:ind w:left="7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Ruby Payne-Scott</w:t>
            </w:r>
          </w:p>
          <w:p w:rsidR="006F6E0F" w:rsidRDefault="006F6E0F" w:rsidP="00FF7EE1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/>
              <w:ind w:left="7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 Discovery</w:t>
            </w:r>
          </w:p>
          <w:p w:rsidR="006F6E0F" w:rsidRDefault="006F6E0F" w:rsidP="00FF7EE1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/>
              <w:ind w:left="7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Eureka Stockade</w:t>
            </w:r>
          </w:p>
          <w:p w:rsidR="006F6E0F" w:rsidRDefault="006F6E0F" w:rsidP="00FF7EE1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/>
              <w:ind w:left="7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Birth of Australian Rules Football</w:t>
            </w:r>
          </w:p>
          <w:p w:rsidR="007668B5" w:rsidRPr="006F6E0F" w:rsidRDefault="006F6E0F" w:rsidP="006F6E0F">
            <w:pPr>
              <w:pStyle w:val="ListParagraph"/>
              <w:numPr>
                <w:ilvl w:val="1"/>
                <w:numId w:val="29"/>
              </w:numPr>
              <w:autoSpaceDE w:val="0"/>
              <w:autoSpaceDN w:val="0"/>
              <w:adjustRightInd w:val="0"/>
              <w:spacing w:before="120"/>
              <w:ind w:left="79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Beach Wars</w:t>
            </w:r>
          </w:p>
        </w:tc>
      </w:tr>
      <w:tr w:rsidR="007668B5" w:rsidRPr="0047183A">
        <w:trPr>
          <w:trHeight w:val="703"/>
        </w:trPr>
        <w:tc>
          <w:tcPr>
            <w:tcW w:w="912" w:type="pct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8B5" w:rsidRPr="0047183A" w:rsidRDefault="007668B5" w:rsidP="00CC15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Background information/ links</w:t>
            </w:r>
          </w:p>
        </w:tc>
        <w:tc>
          <w:tcPr>
            <w:tcW w:w="4088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7668B5" w:rsidRPr="002657EA" w:rsidRDefault="002657EA" w:rsidP="00224A4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657EA">
              <w:rPr>
                <w:rFonts w:ascii="Arial" w:hAnsi="Arial" w:cs="Arial"/>
                <w:color w:val="262626"/>
                <w:sz w:val="20"/>
                <w:szCs w:val="24"/>
                <w:lang w:val="en-US"/>
              </w:rPr>
              <w:t>A</w:t>
            </w:r>
            <w:r>
              <w:rPr>
                <w:rFonts w:ascii="Arial" w:hAnsi="Arial" w:cs="Arial"/>
                <w:color w:val="262626"/>
                <w:sz w:val="20"/>
                <w:szCs w:val="24"/>
                <w:lang w:val="en-US"/>
              </w:rPr>
              <w:t>ustralia - The Story Of Us is a</w:t>
            </w:r>
            <w:r w:rsidRPr="002657EA">
              <w:rPr>
                <w:rFonts w:ascii="Arial" w:hAnsi="Arial" w:cs="Arial"/>
                <w:color w:val="262626"/>
                <w:sz w:val="20"/>
                <w:szCs w:val="24"/>
                <w:lang w:val="en-US"/>
              </w:rPr>
              <w:t xml:space="preserve"> narrative about the people, places and events that have shaped the continent from the first inhabitants to the p</w:t>
            </w:r>
            <w:r>
              <w:rPr>
                <w:rFonts w:ascii="Arial" w:hAnsi="Arial" w:cs="Arial"/>
                <w:color w:val="262626"/>
                <w:sz w:val="20"/>
                <w:szCs w:val="24"/>
                <w:lang w:val="en-US"/>
              </w:rPr>
              <w:t>resent day. This</w:t>
            </w:r>
            <w:r w:rsidRPr="002657EA">
              <w:rPr>
                <w:rFonts w:ascii="Arial" w:hAnsi="Arial" w:cs="Arial"/>
                <w:color w:val="262626"/>
                <w:sz w:val="20"/>
                <w:szCs w:val="24"/>
                <w:lang w:val="en-US"/>
              </w:rPr>
              <w:t xml:space="preserve"> drama-documentary series weaves together stories of the nation’s origins and offers fresh insights into how Australians came to create the homeland we inhabit today.</w:t>
            </w:r>
          </w:p>
        </w:tc>
      </w:tr>
      <w:tr w:rsidR="007668B5" w:rsidRPr="0047183A">
        <w:trPr>
          <w:trHeight w:val="983"/>
        </w:trPr>
        <w:tc>
          <w:tcPr>
            <w:tcW w:w="912" w:type="pct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668B5" w:rsidRPr="0047183A" w:rsidRDefault="007668B5" w:rsidP="00CC1548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Key Ideas</w:t>
            </w:r>
          </w:p>
        </w:tc>
        <w:tc>
          <w:tcPr>
            <w:tcW w:w="4088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</w:tcPr>
          <w:p w:rsidR="00613761" w:rsidRPr="00870356" w:rsidRDefault="00CC7716" w:rsidP="00870356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</w:pPr>
            <w:r w:rsidRPr="00CC7716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The Australian Curriculum (AC) history rationale outlines that historical knowledge is fundamental to understanding ourselves and others (</w:t>
            </w:r>
            <w:proofErr w:type="spellStart"/>
            <w:r w:rsidRPr="00CC7716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ACARAa</w:t>
            </w:r>
            <w:proofErr w:type="spellEnd"/>
            <w:r w:rsidRPr="00CC7716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, 2014). Furthermore, </w:t>
            </w:r>
            <w:r w:rsidRPr="00870356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History informs and reminds us of the past. Subsequently, history learning </w:t>
            </w:r>
            <w:r w:rsidR="00870356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provides an avenue for inquiry</w:t>
            </w:r>
            <w:r w:rsidRPr="00870356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between past and present and the relationships between. </w:t>
            </w:r>
          </w:p>
          <w:p w:rsidR="0092119E" w:rsidRPr="0092119E" w:rsidRDefault="00770A74" w:rsidP="00770A74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This</w:t>
            </w:r>
            <w:r w:rsidR="00613761"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unit </w:t>
            </w:r>
            <w:r w:rsid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engages the</w:t>
            </w:r>
            <w:r w:rsidR="00613761"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student</w:t>
            </w:r>
            <w:r w:rsid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s </w:t>
            </w:r>
            <w:r w:rsidR="00613761"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and </w:t>
            </w:r>
            <w:r w:rsid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values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their contribution through discussion.</w:t>
            </w:r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T</w:t>
            </w:r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he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weekly activities</w:t>
            </w:r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expose students’ understanding, 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their </w:t>
            </w:r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thought processes, and any possible misconceptions, creating a valuable 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opportunity for </w:t>
            </w:r>
            <w:r w:rsidR="00870356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dialogue</w:t>
            </w:r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and to develop historical knowledge</w:t>
            </w:r>
            <w:r w:rsidR="00B74EC3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of Australia</w:t>
            </w:r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. Unit lessons are </w:t>
            </w:r>
            <w:r w:rsidR="00247F13"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centered</w:t>
            </w:r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on students reading, </w:t>
            </w:r>
            <w:proofErr w:type="spellStart"/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analysing</w:t>
            </w:r>
            <w:proofErr w:type="spellEnd"/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, sharing and responding to </w:t>
            </w:r>
            <w:r w:rsidR="0092119E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the DVD narrative and the</w:t>
            </w:r>
            <w:r w:rsidRPr="00613761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historical texts.</w:t>
            </w:r>
          </w:p>
          <w:p w:rsidR="007668B5" w:rsidRPr="00B74EC3" w:rsidRDefault="00B74EC3" w:rsidP="00B74EC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C7716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A variety of teaching and learning strategies are used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t</w:t>
            </w:r>
            <w:r w:rsidRPr="0047183A">
              <w:rPr>
                <w:rFonts w:ascii="Arial" w:hAnsi="Arial" w:cs="Arial"/>
                <w:sz w:val="20"/>
                <w:szCs w:val="20"/>
              </w:rPr>
              <w:t>o increase skills comprehending and expressing opinions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</w:t>
            </w:r>
            <w:r w:rsidR="0092119E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The </w:t>
            </w:r>
            <w:r w:rsidR="004749B3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literacy activities</w:t>
            </w:r>
            <w:r w:rsidR="0092119E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are based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on the Department of Education comprehension strategies -</w:t>
            </w:r>
            <w:r w:rsidR="0092119E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‘The Super 6 Reading Strategies -</w:t>
            </w:r>
            <w:r w:rsidR="004749B3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Conn</w:t>
            </w:r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ect, Predict, Monitor/Clarify, Question, </w:t>
            </w:r>
            <w:proofErr w:type="spellStart"/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Visualise</w:t>
            </w:r>
            <w:proofErr w:type="spellEnd"/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 and </w:t>
            </w:r>
            <w:proofErr w:type="spellStart"/>
            <w:r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S</w:t>
            </w:r>
            <w:r w:rsidR="004749B3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>ummarise</w:t>
            </w:r>
            <w:proofErr w:type="spellEnd"/>
            <w:r w:rsidR="004749B3">
              <w:rPr>
                <w:rFonts w:ascii="Arial" w:hAnsi="Arial" w:cs="Verdana"/>
                <w:color w:val="1A1A1A"/>
                <w:sz w:val="20"/>
                <w:szCs w:val="30"/>
                <w:lang w:val="en-US"/>
              </w:rPr>
              <w:t xml:space="preserve">. </w:t>
            </w:r>
          </w:p>
        </w:tc>
      </w:tr>
    </w:tbl>
    <w:p w:rsidR="00247F13" w:rsidRDefault="00247F13">
      <w:r>
        <w:br w:type="page"/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1959"/>
        <w:gridCol w:w="2831"/>
        <w:gridCol w:w="2831"/>
        <w:gridCol w:w="1145"/>
        <w:gridCol w:w="1974"/>
      </w:tblGrid>
      <w:tr w:rsidR="00C80639" w:rsidRPr="0047183A">
        <w:trPr>
          <w:trHeight w:val="349"/>
        </w:trPr>
        <w:tc>
          <w:tcPr>
            <w:tcW w:w="5000" w:type="pct"/>
            <w:gridSpan w:val="5"/>
            <w:shd w:val="clear" w:color="auto" w:fill="B8CCE4" w:themeFill="accent1" w:themeFillTint="66"/>
          </w:tcPr>
          <w:p w:rsidR="00C80639" w:rsidRPr="0047183A" w:rsidRDefault="00C80639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lastRenderedPageBreak/>
              <w:t>Scope and Sequence and Lesson Structure</w:t>
            </w:r>
          </w:p>
        </w:tc>
      </w:tr>
      <w:tr w:rsidR="00E17EE7" w:rsidRPr="0047183A">
        <w:trPr>
          <w:trHeight w:val="1830"/>
        </w:trPr>
        <w:tc>
          <w:tcPr>
            <w:tcW w:w="912" w:type="pct"/>
            <w:shd w:val="clear" w:color="auto" w:fill="DBE5F1" w:themeFill="accent1" w:themeFillTint="33"/>
          </w:tcPr>
          <w:p w:rsidR="00BC3605" w:rsidRDefault="00BC3605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288" w:rsidRDefault="00E17EE7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The Elements of Learning </w:t>
            </w:r>
            <w:r w:rsidR="00755288" w:rsidRPr="00755288">
              <w:rPr>
                <w:rFonts w:ascii="Arial" w:hAnsi="Arial" w:cs="Arial"/>
                <w:b/>
                <w:sz w:val="20"/>
                <w:szCs w:val="20"/>
              </w:rPr>
              <w:t>&amp; Achievement</w:t>
            </w:r>
          </w:p>
          <w:p w:rsidR="00F70E45" w:rsidRDefault="00F70E45" w:rsidP="00BC3605">
            <w:pPr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70E45" w:rsidRDefault="00F70E45" w:rsidP="00637F14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600D683" wp14:editId="193258AD">
                  <wp:extent cx="389890" cy="3898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0E4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2CF2">
              <w:rPr>
                <w:noProof/>
                <w:lang w:eastAsia="en-AU"/>
              </w:rPr>
              <w:drawing>
                <wp:inline distT="0" distB="0" distL="0" distR="0" wp14:anchorId="3B80ACB4" wp14:editId="526E56A6">
                  <wp:extent cx="403761" cy="404922"/>
                  <wp:effectExtent l="0" t="0" r="0" b="0"/>
                  <wp:docPr id="41" name="Picture 2" descr="E:\Final V1\Final sq NO border\Sq Technology no bd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E:\Final V1\Final sq NO border\Sq Technology no bd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47" cy="4089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70E4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48A6">
              <w:rPr>
                <w:b/>
                <w:noProof/>
                <w:color w:val="FFFF00"/>
                <w:lang w:eastAsia="en-AU"/>
              </w:rPr>
              <w:drawing>
                <wp:inline distT="0" distB="0" distL="0" distR="0" wp14:anchorId="6DFEEF4D" wp14:editId="682F445F">
                  <wp:extent cx="397764" cy="403761"/>
                  <wp:effectExtent l="0" t="0" r="2540" b="0"/>
                  <wp:docPr id="4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837" cy="42515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F70E45" w:rsidRDefault="00F70E45" w:rsidP="00F70E45">
            <w:pPr>
              <w:shd w:val="clear" w:color="auto" w:fill="DBE5F1" w:themeFill="accent1" w:themeFillTint="33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9" w:type="pct"/>
            <w:gridSpan w:val="3"/>
            <w:shd w:val="clear" w:color="auto" w:fill="auto"/>
          </w:tcPr>
          <w:p w:rsidR="004932A5" w:rsidRDefault="004932A5" w:rsidP="00BC36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55288" w:rsidRDefault="00FF107D" w:rsidP="00BC360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4932A5">
              <w:rPr>
                <w:rFonts w:ascii="Arial" w:hAnsi="Arial" w:cs="Arial"/>
                <w:b/>
                <w:sz w:val="20"/>
                <w:szCs w:val="20"/>
              </w:rPr>
              <w:t>Weekly Activities</w:t>
            </w:r>
            <w:r w:rsidR="00CC771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668B5" w:rsidRPr="00202350" w:rsidRDefault="007668B5" w:rsidP="007668B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202350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Introduction </w:t>
            </w:r>
          </w:p>
          <w:p w:rsidR="00CC7716" w:rsidRDefault="00CC7716" w:rsidP="007668B5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Learners </w:t>
            </w:r>
            <w:r w:rsidR="00E47793">
              <w:rPr>
                <w:rFonts w:ascii="Arial" w:hAnsi="Arial" w:cs="Arial"/>
                <w:sz w:val="20"/>
                <w:szCs w:val="20"/>
              </w:rPr>
              <w:t>use information from graphics, text and experiences to predict what will be viewed/read/heard and to actively adjust comprehension while viewing/reading/listening.</w:t>
            </w:r>
          </w:p>
          <w:p w:rsidR="007668B5" w:rsidRDefault="007668B5" w:rsidP="007668B5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2: Watch </w:t>
            </w:r>
            <w:r w:rsidR="00E47793">
              <w:rPr>
                <w:rFonts w:ascii="Arial" w:hAnsi="Arial" w:cs="Arial"/>
                <w:b/>
                <w:sz w:val="20"/>
                <w:szCs w:val="20"/>
              </w:rPr>
              <w:t>Documentary</w:t>
            </w:r>
          </w:p>
          <w:p w:rsidR="00800F18" w:rsidRDefault="007668B5" w:rsidP="00E4779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637F14">
              <w:rPr>
                <w:rFonts w:ascii="Arial" w:hAnsi="Arial" w:cs="Arial"/>
                <w:sz w:val="20"/>
                <w:szCs w:val="20"/>
              </w:rPr>
              <w:t>Ask Quick Qui</w:t>
            </w:r>
            <w:r w:rsidR="00637F14" w:rsidRPr="00637F14">
              <w:rPr>
                <w:rFonts w:ascii="Arial" w:hAnsi="Arial" w:cs="Arial"/>
                <w:sz w:val="20"/>
                <w:szCs w:val="20"/>
              </w:rPr>
              <w:t xml:space="preserve">z Questions to the class </w:t>
            </w:r>
            <w:r w:rsidR="00093A88">
              <w:rPr>
                <w:rFonts w:ascii="Arial" w:hAnsi="Arial" w:cs="Arial"/>
                <w:sz w:val="20"/>
                <w:szCs w:val="20"/>
              </w:rPr>
              <w:t>to explore understanding</w:t>
            </w:r>
            <w:r w:rsidR="00E47793">
              <w:rPr>
                <w:rFonts w:ascii="Arial" w:hAnsi="Arial" w:cs="Arial"/>
                <w:sz w:val="20"/>
                <w:szCs w:val="20"/>
              </w:rPr>
              <w:t xml:space="preserve"> and whether what they have watched made sense. May need to review.</w:t>
            </w:r>
            <w:r w:rsidR="00093A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7F14" w:rsidRPr="00E47793" w:rsidRDefault="00800F18" w:rsidP="00E47793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Introduce Inquiry Questions</w:t>
            </w:r>
          </w:p>
          <w:p w:rsidR="007668B5" w:rsidRPr="00FF107D" w:rsidRDefault="00637F14" w:rsidP="00637F14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20434">
              <w:rPr>
                <w:rFonts w:ascii="Arial" w:hAnsi="Arial" w:cs="Arial"/>
                <w:b/>
                <w:sz w:val="20"/>
                <w:szCs w:val="20"/>
              </w:rPr>
              <w:t xml:space="preserve">3: </w:t>
            </w:r>
            <w:r w:rsidR="00FF107D">
              <w:rPr>
                <w:rFonts w:ascii="Arial" w:hAnsi="Arial" w:cs="Arial"/>
                <w:b/>
                <w:sz w:val="20"/>
                <w:szCs w:val="20"/>
              </w:rPr>
              <w:t>Literacy Activities</w:t>
            </w:r>
          </w:p>
          <w:p w:rsidR="00870356" w:rsidRDefault="00BC4CC3" w:rsidP="00870356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Connect </w:t>
            </w:r>
            <w:r w:rsidR="00870356" w:rsidRPr="00870356">
              <w:rPr>
                <w:rFonts w:ascii="Arial" w:hAnsi="Arial"/>
                <w:sz w:val="20"/>
              </w:rPr>
              <w:t>– Learners make personal connections fro</w:t>
            </w:r>
            <w:r w:rsidR="005E4A7E">
              <w:rPr>
                <w:rFonts w:ascii="Arial" w:hAnsi="Arial"/>
                <w:sz w:val="20"/>
              </w:rPr>
              <w:t>m the documentary and text with another documentary/text, something in their life</w:t>
            </w:r>
            <w:r w:rsidR="000D03A5">
              <w:rPr>
                <w:rFonts w:ascii="Arial" w:hAnsi="Arial"/>
                <w:sz w:val="20"/>
              </w:rPr>
              <w:t xml:space="preserve"> or something occurring in the world</w:t>
            </w:r>
          </w:p>
          <w:p w:rsidR="005E4A7E" w:rsidRDefault="005E4A7E" w:rsidP="00870356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Brainstorm activities using a K-W-L</w:t>
            </w:r>
          </w:p>
          <w:p w:rsidR="00870356" w:rsidRDefault="005E4A7E" w:rsidP="00870356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Scanning titles, images and graphics to build on prior knowledge and make connections </w:t>
            </w:r>
          </w:p>
          <w:p w:rsidR="006277F7" w:rsidRDefault="00BC4CC3" w:rsidP="00BC4CC3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Predict – Learners are asked to discuss or write what they think the documentary and text is about</w:t>
            </w:r>
            <w:r w:rsidR="006277F7">
              <w:rPr>
                <w:rFonts w:ascii="Arial" w:hAnsi="Arial"/>
                <w:sz w:val="20"/>
              </w:rPr>
              <w:t xml:space="preserve"> using information from graphics and text to anticipate what will be heard/viewed and read</w:t>
            </w:r>
            <w:r>
              <w:rPr>
                <w:rFonts w:ascii="Arial" w:hAnsi="Arial"/>
                <w:sz w:val="20"/>
              </w:rPr>
              <w:t>.</w:t>
            </w:r>
          </w:p>
          <w:p w:rsidR="007B6EBE" w:rsidRDefault="007B6EBE" w:rsidP="006277F7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Pre-quiz questions</w:t>
            </w:r>
          </w:p>
          <w:p w:rsidR="006277F7" w:rsidRDefault="006277F7" w:rsidP="006277F7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do you think will happen next?</w:t>
            </w:r>
          </w:p>
          <w:p w:rsidR="006277F7" w:rsidRDefault="006277F7" w:rsidP="006277F7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helped you make those predictions?</w:t>
            </w:r>
          </w:p>
          <w:p w:rsidR="00BC4CC3" w:rsidRPr="00F97E94" w:rsidRDefault="006277F7" w:rsidP="00F97E94">
            <w:pPr>
              <w:pStyle w:val="ListParagraph"/>
              <w:numPr>
                <w:ilvl w:val="0"/>
                <w:numId w:val="32"/>
              </w:numPr>
              <w:jc w:val="both"/>
              <w:rPr>
                <w:rFonts w:ascii="Arial" w:hAnsi="Arial"/>
                <w:sz w:val="20"/>
              </w:rPr>
            </w:pPr>
            <w:r w:rsidRPr="006277F7">
              <w:rPr>
                <w:rFonts w:ascii="Arial" w:hAnsi="Arial" w:cs="Arial"/>
                <w:sz w:val="20"/>
                <w:szCs w:val="20"/>
              </w:rPr>
              <w:t>Monitor/Clarify – Learners stop and think about the documentary/text and know what to do when meaning is unclear.</w:t>
            </w:r>
            <w:r w:rsidR="00F97E94">
              <w:rPr>
                <w:rFonts w:ascii="Arial" w:hAnsi="Arial"/>
                <w:sz w:val="20"/>
              </w:rPr>
              <w:t xml:space="preserve"> Learners are </w:t>
            </w:r>
            <w:r w:rsidR="00F97E94" w:rsidRPr="00BC4CC3">
              <w:rPr>
                <w:rFonts w:ascii="Arial" w:hAnsi="Arial" w:cs="Arial"/>
                <w:sz w:val="20"/>
                <w:szCs w:val="20"/>
              </w:rPr>
              <w:t>asked do they unders</w:t>
            </w:r>
            <w:r w:rsidR="00F97E94">
              <w:rPr>
                <w:rFonts w:ascii="Arial" w:hAnsi="Arial" w:cs="Arial"/>
                <w:sz w:val="20"/>
                <w:szCs w:val="20"/>
              </w:rPr>
              <w:t xml:space="preserve">tand what they have viewed/read and </w:t>
            </w:r>
            <w:r w:rsidRPr="006277F7">
              <w:rPr>
                <w:rFonts w:ascii="Arial" w:hAnsi="Arial"/>
                <w:sz w:val="20"/>
              </w:rPr>
              <w:t>become familiar with key words and concepts</w:t>
            </w:r>
          </w:p>
          <w:p w:rsidR="00BC4CC3" w:rsidRDefault="00BC4CC3" w:rsidP="00BC4CC3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Build their vocabulary</w:t>
            </w:r>
            <w:r w:rsidR="0068012E" w:rsidRPr="00BC4C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07D" w:rsidRPr="00BC4CC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="004E3401" w:rsidRPr="00BC4CC3">
              <w:rPr>
                <w:rFonts w:ascii="Arial" w:hAnsi="Arial" w:cs="Arial"/>
                <w:sz w:val="20"/>
                <w:szCs w:val="20"/>
              </w:rPr>
              <w:t xml:space="preserve">students </w:t>
            </w:r>
            <w:r w:rsidR="004E3401" w:rsidRPr="00BC4CC3">
              <w:rPr>
                <w:rFonts w:ascii="Arial" w:hAnsi="Arial"/>
                <w:sz w:val="20"/>
              </w:rPr>
              <w:t>clarify the key words by placing a tick (</w:t>
            </w:r>
            <w:r w:rsidR="004E3401" w:rsidRPr="004E3401">
              <w:sym w:font="Symbol" w:char="F0D6"/>
            </w:r>
            <w:r w:rsidR="004E3401" w:rsidRPr="00BC4CC3">
              <w:rPr>
                <w:rFonts w:ascii="Arial" w:hAnsi="Arial"/>
                <w:sz w:val="20"/>
              </w:rPr>
              <w:t xml:space="preserve">) next to the words in the word bank </w:t>
            </w:r>
            <w:r w:rsidR="00E02E39" w:rsidRPr="00BC4CC3">
              <w:rPr>
                <w:rFonts w:ascii="Arial" w:hAnsi="Arial"/>
                <w:sz w:val="20"/>
              </w:rPr>
              <w:t>they</w:t>
            </w:r>
            <w:r w:rsidR="004E3401" w:rsidRPr="00BC4CC3">
              <w:rPr>
                <w:rFonts w:ascii="Arial" w:hAnsi="Arial"/>
                <w:sz w:val="20"/>
              </w:rPr>
              <w:t xml:space="preserve"> understand and a question mark (</w:t>
            </w:r>
            <w:r w:rsidR="004E3401" w:rsidRPr="004E3401">
              <w:sym w:font="Symbol" w:char="F03F"/>
            </w:r>
            <w:r w:rsidR="004E3401" w:rsidRPr="00BC4CC3">
              <w:rPr>
                <w:rFonts w:ascii="Arial" w:hAnsi="Arial"/>
                <w:sz w:val="20"/>
              </w:rPr>
              <w:t xml:space="preserve">) next to the words </w:t>
            </w:r>
            <w:r w:rsidR="00E02E39" w:rsidRPr="00BC4CC3">
              <w:rPr>
                <w:rFonts w:ascii="Arial" w:hAnsi="Arial"/>
                <w:sz w:val="20"/>
              </w:rPr>
              <w:t>they</w:t>
            </w:r>
            <w:r w:rsidR="004E3401" w:rsidRPr="00BC4CC3">
              <w:rPr>
                <w:rFonts w:ascii="Arial" w:hAnsi="Arial"/>
                <w:sz w:val="20"/>
              </w:rPr>
              <w:t xml:space="preserve"> are unsure of the meaning. </w:t>
            </w:r>
            <w:r w:rsidR="00E02E39" w:rsidRPr="00BC4CC3">
              <w:rPr>
                <w:rFonts w:ascii="Arial" w:hAnsi="Arial"/>
                <w:sz w:val="20"/>
              </w:rPr>
              <w:t xml:space="preserve">Record </w:t>
            </w:r>
            <w:r w:rsidR="00870356" w:rsidRPr="00BC4CC3">
              <w:rPr>
                <w:rFonts w:ascii="Arial" w:hAnsi="Arial"/>
                <w:sz w:val="20"/>
              </w:rPr>
              <w:t>definitions in</w:t>
            </w:r>
            <w:r w:rsidR="004E3401" w:rsidRPr="00BC4CC3">
              <w:rPr>
                <w:rFonts w:ascii="Arial" w:hAnsi="Arial"/>
                <w:sz w:val="20"/>
              </w:rPr>
              <w:t xml:space="preserve"> the table</w:t>
            </w:r>
            <w:r w:rsidR="00E02E39" w:rsidRPr="00BC4CC3">
              <w:rPr>
                <w:rFonts w:ascii="Arial" w:hAnsi="Arial"/>
                <w:sz w:val="20"/>
              </w:rPr>
              <w:t xml:space="preserve"> with the use of a dictionary.</w:t>
            </w:r>
          </w:p>
          <w:p w:rsidR="00F97E94" w:rsidRDefault="00F97E94" w:rsidP="00BC4CC3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Find a word in the text that means x or is a synonym for x</w:t>
            </w:r>
          </w:p>
          <w:p w:rsidR="004F2B7A" w:rsidRDefault="00F97E94" w:rsidP="00F97E94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What do you think will happen next?</w:t>
            </w:r>
          </w:p>
          <w:p w:rsidR="00F97E94" w:rsidRPr="004F2B7A" w:rsidRDefault="004F2B7A" w:rsidP="004F2B7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Cloze passage comprehension exercise to force students to ‘read around’ for clues</w:t>
            </w:r>
          </w:p>
          <w:p w:rsidR="00BC4CC3" w:rsidRPr="00F97E94" w:rsidRDefault="00F97E94" w:rsidP="00F97E94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 w:rsidRPr="00F97E94">
              <w:rPr>
                <w:rFonts w:ascii="Arial" w:hAnsi="Arial" w:cs="Arial"/>
                <w:sz w:val="20"/>
                <w:szCs w:val="20"/>
              </w:rPr>
              <w:t>Discuss key terminology</w:t>
            </w:r>
            <w:r w:rsidRPr="00F97E94">
              <w:rPr>
                <w:rFonts w:ascii="Arial" w:hAnsi="Arial"/>
                <w:sz w:val="20"/>
              </w:rPr>
              <w:t xml:space="preserve"> and concepts</w:t>
            </w:r>
          </w:p>
          <w:p w:rsidR="00F97E94" w:rsidRDefault="00F97E94" w:rsidP="00E02E3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Question – Learners answer questions generated by the teacher that clarify meaning and promote deeper understanding </w:t>
            </w:r>
          </w:p>
          <w:p w:rsidR="00F97E94" w:rsidRDefault="00F97E94" w:rsidP="00F97E94">
            <w:pPr>
              <w:pStyle w:val="ListParagraph"/>
              <w:numPr>
                <w:ilvl w:val="1"/>
                <w:numId w:val="32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 wonder what/how/where/when/why?</w:t>
            </w:r>
          </w:p>
          <w:p w:rsidR="00E02E39" w:rsidRDefault="00F97E94" w:rsidP="00E02E39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Visualise – Learners bring the text to li</w:t>
            </w:r>
            <w:r w:rsidR="000D03A5">
              <w:rPr>
                <w:rFonts w:ascii="Arial" w:hAnsi="Arial"/>
                <w:sz w:val="20"/>
              </w:rPr>
              <w:t>fe by creating a mental image.</w:t>
            </w:r>
          </w:p>
          <w:p w:rsidR="007668B5" w:rsidRPr="00FF107D" w:rsidRDefault="004F2B7A" w:rsidP="004F2B7A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Graphic Visual Organisers</w:t>
            </w:r>
          </w:p>
          <w:p w:rsidR="007668B5" w:rsidRPr="00FF107D" w:rsidRDefault="004F2B7A" w:rsidP="00FF107D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Summarise – Learners identify the most important ideas and restate them in their own words</w:t>
            </w:r>
          </w:p>
          <w:p w:rsidR="00E17EE7" w:rsidRPr="008B6BBE" w:rsidRDefault="00E17EE7" w:rsidP="008B6BBE">
            <w:pPr>
              <w:pStyle w:val="ListParagraph"/>
              <w:autoSpaceDE w:val="0"/>
              <w:autoSpaceDN w:val="0"/>
              <w:adjustRightInd w:val="0"/>
              <w:spacing w:before="120"/>
              <w:ind w:left="73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9" w:type="pct"/>
            <w:shd w:val="clear" w:color="auto" w:fill="DBE5F1" w:themeFill="accent1" w:themeFillTint="33"/>
          </w:tcPr>
          <w:p w:rsidR="00BC3605" w:rsidRDefault="00BC3605" w:rsidP="00BC360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17EE7" w:rsidRDefault="00755288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5288">
              <w:rPr>
                <w:rFonts w:ascii="Arial" w:hAnsi="Arial" w:cs="Arial"/>
                <w:b/>
                <w:sz w:val="20"/>
                <w:szCs w:val="20"/>
              </w:rPr>
              <w:t xml:space="preserve">Aboriginal 8 Ways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Learning</w:t>
            </w:r>
          </w:p>
          <w:p w:rsidR="00E17EE7" w:rsidRPr="00524231" w:rsidRDefault="00BC3605" w:rsidP="005242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C3605">
              <w:rPr>
                <w:rFonts w:ascii="Arial" w:hAnsi="Arial" w:cs="Arial"/>
                <w:i/>
                <w:sz w:val="20"/>
                <w:szCs w:val="20"/>
              </w:rPr>
              <w:t>The following ways of learning are incorporated throughout the program through pedagogical practices</w:t>
            </w:r>
          </w:p>
          <w:p w:rsidR="00524231" w:rsidRDefault="008B6BBE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5EE3D3" wp14:editId="6B570465">
                  <wp:extent cx="450850" cy="445135"/>
                  <wp:effectExtent l="25400" t="0" r="6350" b="0"/>
                  <wp:docPr id="3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70E45" w:rsidRDefault="00524231" w:rsidP="005242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Sharing</w:t>
            </w:r>
          </w:p>
          <w:p w:rsidR="00BC360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3464">
              <w:rPr>
                <w:noProof/>
                <w:lang w:eastAsia="en-AU"/>
              </w:rPr>
              <w:drawing>
                <wp:inline distT="0" distB="0" distL="0" distR="0" wp14:anchorId="0450825E" wp14:editId="1FA60460">
                  <wp:extent cx="417637" cy="453225"/>
                  <wp:effectExtent l="0" t="0" r="1905" b="4445"/>
                  <wp:docPr id="989" name="Picture 989" descr="2_map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2_map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637" cy="4532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05" w:rsidRDefault="00524231" w:rsidP="00524231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Maps</w:t>
            </w:r>
          </w:p>
          <w:p w:rsidR="00BC360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Verdana" w:hAnsi="Verdana" w:cs="Arial"/>
                <w:noProof/>
                <w:color w:val="000000"/>
                <w:sz w:val="36"/>
                <w:szCs w:val="36"/>
                <w:lang w:eastAsia="en-AU"/>
              </w:rPr>
              <w:drawing>
                <wp:inline distT="0" distB="0" distL="0" distR="0" wp14:anchorId="3F02A181" wp14:editId="62FAA867">
                  <wp:extent cx="434175" cy="472336"/>
                  <wp:effectExtent l="19050" t="0" r="3975" b="0"/>
                  <wp:docPr id="25" name="Picture 1" descr="7_deconstru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7_deconstruc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68" cy="47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605" w:rsidRDefault="00BC3605" w:rsidP="00BC360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Deconstruct/ Reconstruct</w:t>
            </w:r>
          </w:p>
          <w:p w:rsidR="00BC3605" w:rsidRPr="00BC3605" w:rsidRDefault="00BC3605" w:rsidP="007668B5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9DC" w:rsidRPr="0047183A" w:rsidTr="00247F13">
        <w:tc>
          <w:tcPr>
            <w:tcW w:w="2230" w:type="pct"/>
            <w:gridSpan w:val="2"/>
            <w:shd w:val="clear" w:color="auto" w:fill="B8CCE4" w:themeFill="accent1" w:themeFillTint="66"/>
          </w:tcPr>
          <w:p w:rsidR="00AF49DC" w:rsidRPr="0047183A" w:rsidRDefault="00AF49DC" w:rsidP="004B6EDB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 xml:space="preserve">Special Needs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47183A">
              <w:rPr>
                <w:rFonts w:ascii="Arial" w:hAnsi="Arial" w:cs="Arial"/>
                <w:b/>
                <w:sz w:val="20"/>
                <w:szCs w:val="20"/>
              </w:rPr>
              <w:t>djustments</w:t>
            </w:r>
          </w:p>
        </w:tc>
        <w:tc>
          <w:tcPr>
            <w:tcW w:w="1318" w:type="pct"/>
            <w:shd w:val="clear" w:color="auto" w:fill="B8CCE4" w:themeFill="accent1" w:themeFillTint="66"/>
          </w:tcPr>
          <w:p w:rsidR="00AF49DC" w:rsidRPr="0047183A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School to Work</w:t>
            </w:r>
          </w:p>
        </w:tc>
        <w:tc>
          <w:tcPr>
            <w:tcW w:w="1453" w:type="pct"/>
            <w:gridSpan w:val="2"/>
            <w:shd w:val="clear" w:color="auto" w:fill="B8CCE4" w:themeFill="accent1" w:themeFillTint="66"/>
          </w:tcPr>
          <w:p w:rsidR="00AF49DC" w:rsidRPr="0047183A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sz w:val="20"/>
                <w:szCs w:val="20"/>
              </w:rPr>
              <w:t>Assessments</w:t>
            </w:r>
          </w:p>
        </w:tc>
      </w:tr>
      <w:tr w:rsidR="007668B5" w:rsidRPr="0047183A" w:rsidTr="00247F13">
        <w:tc>
          <w:tcPr>
            <w:tcW w:w="2230" w:type="pct"/>
            <w:gridSpan w:val="2"/>
            <w:shd w:val="clear" w:color="auto" w:fill="auto"/>
          </w:tcPr>
          <w:p w:rsidR="007668B5" w:rsidRPr="0047183A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>Extra support given to students in need of it.</w:t>
            </w:r>
          </w:p>
          <w:p w:rsidR="007668B5" w:rsidRPr="0047183A" w:rsidRDefault="00F17381" w:rsidP="00D65EFD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work consists </w:t>
            </w:r>
            <w:r w:rsidR="00E47793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visual learning and a</w:t>
            </w:r>
            <w:r w:rsidR="007668B5"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 xml:space="preserve">ge/stage appropriate text. </w:t>
            </w:r>
          </w:p>
          <w:p w:rsidR="007668B5" w:rsidRPr="0047183A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Work designed to engage learners as it is altered for their interests.</w:t>
            </w:r>
          </w:p>
          <w:p w:rsidR="007668B5" w:rsidRPr="00F17381" w:rsidRDefault="007668B5" w:rsidP="00D65EFD">
            <w:pPr>
              <w:spacing w:before="120" w:after="120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47183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t>Students’ work meets their Personalised Learning Plans goals/ outcomes.</w:t>
            </w:r>
          </w:p>
        </w:tc>
        <w:tc>
          <w:tcPr>
            <w:tcW w:w="1318" w:type="pct"/>
            <w:shd w:val="clear" w:color="auto" w:fill="auto"/>
          </w:tcPr>
          <w:p w:rsidR="007668B5" w:rsidRPr="0047183A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>Students will develop their comprehension strategies to allow them to identify and i</w:t>
            </w:r>
            <w:r>
              <w:rPr>
                <w:rFonts w:ascii="Arial" w:hAnsi="Arial" w:cs="Arial"/>
                <w:sz w:val="20"/>
                <w:szCs w:val="20"/>
              </w:rPr>
              <w:t xml:space="preserve">nterpret information in </w:t>
            </w:r>
            <w:r w:rsidR="00870356">
              <w:rPr>
                <w:rFonts w:ascii="Arial" w:hAnsi="Arial" w:cs="Arial"/>
                <w:sz w:val="20"/>
                <w:szCs w:val="20"/>
              </w:rPr>
              <w:t xml:space="preserve">visual literacy and </w:t>
            </w:r>
            <w:r>
              <w:rPr>
                <w:rFonts w:ascii="Arial" w:hAnsi="Arial" w:cs="Arial"/>
                <w:sz w:val="20"/>
                <w:szCs w:val="20"/>
              </w:rPr>
              <w:t>texts.</w:t>
            </w:r>
          </w:p>
        </w:tc>
        <w:tc>
          <w:tcPr>
            <w:tcW w:w="1453" w:type="pct"/>
            <w:gridSpan w:val="2"/>
            <w:shd w:val="clear" w:color="auto" w:fill="auto"/>
          </w:tcPr>
          <w:p w:rsidR="007668B5" w:rsidRPr="0047183A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 xml:space="preserve">Students to complete </w:t>
            </w:r>
            <w:r w:rsidR="00524231">
              <w:rPr>
                <w:rFonts w:ascii="Arial" w:hAnsi="Arial" w:cs="Arial"/>
                <w:sz w:val="20"/>
                <w:szCs w:val="20"/>
              </w:rPr>
              <w:t>weekly</w:t>
            </w:r>
            <w:r w:rsidR="00870356">
              <w:rPr>
                <w:rFonts w:ascii="Arial" w:hAnsi="Arial" w:cs="Arial"/>
                <w:sz w:val="20"/>
                <w:szCs w:val="20"/>
              </w:rPr>
              <w:t xml:space="preserve"> literacy activities based on the </w:t>
            </w:r>
            <w:r w:rsidR="0052423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0356">
              <w:rPr>
                <w:rFonts w:ascii="Arial" w:hAnsi="Arial" w:cs="Arial"/>
                <w:sz w:val="20"/>
                <w:szCs w:val="20"/>
              </w:rPr>
              <w:t>‘Super 6’ Comprehension Strategies</w:t>
            </w:r>
          </w:p>
          <w:p w:rsidR="007668B5" w:rsidRDefault="007668B5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sz w:val="20"/>
                <w:szCs w:val="20"/>
              </w:rPr>
              <w:t xml:space="preserve">Discussion and observation </w:t>
            </w:r>
          </w:p>
          <w:p w:rsidR="007668B5" w:rsidRPr="0047183A" w:rsidRDefault="00524231" w:rsidP="00D65EF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to demonstrate knowledge</w:t>
            </w:r>
            <w:r w:rsidR="00F17381">
              <w:rPr>
                <w:rFonts w:ascii="Arial" w:hAnsi="Arial" w:cs="Arial"/>
                <w:sz w:val="20"/>
                <w:szCs w:val="20"/>
              </w:rPr>
              <w:t xml:space="preserve"> and functional computer skills</w:t>
            </w:r>
          </w:p>
        </w:tc>
      </w:tr>
    </w:tbl>
    <w:p w:rsidR="00247F13" w:rsidRDefault="00247F13">
      <w:r>
        <w:br w:type="page"/>
      </w: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2236"/>
        <w:gridCol w:w="1392"/>
        <w:gridCol w:w="1441"/>
        <w:gridCol w:w="2122"/>
        <w:gridCol w:w="711"/>
        <w:gridCol w:w="2838"/>
      </w:tblGrid>
      <w:tr w:rsidR="00AF49DC" w:rsidRPr="0047183A">
        <w:tc>
          <w:tcPr>
            <w:tcW w:w="5000" w:type="pct"/>
            <w:gridSpan w:val="6"/>
            <w:shd w:val="clear" w:color="auto" w:fill="B8CCE4" w:themeFill="accent1" w:themeFillTint="66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Risk Assessment</w:t>
            </w:r>
          </w:p>
        </w:tc>
      </w:tr>
      <w:tr w:rsidR="00AF49DC" w:rsidRPr="0047183A" w:rsidTr="00247F13">
        <w:tc>
          <w:tcPr>
            <w:tcW w:w="1041" w:type="pct"/>
            <w:shd w:val="clear" w:color="auto" w:fill="DBE5F1" w:themeFill="accent1" w:themeFillTint="33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1319" w:type="pct"/>
            <w:gridSpan w:val="2"/>
            <w:shd w:val="clear" w:color="auto" w:fill="DBE5F1" w:themeFill="accent1" w:themeFillTint="33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Safety Strategies</w:t>
            </w:r>
          </w:p>
        </w:tc>
        <w:tc>
          <w:tcPr>
            <w:tcW w:w="1319" w:type="pct"/>
            <w:gridSpan w:val="2"/>
            <w:shd w:val="clear" w:color="auto" w:fill="DBE5F1" w:themeFill="accent1" w:themeFillTint="33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Identified Hazards</w:t>
            </w:r>
          </w:p>
        </w:tc>
        <w:tc>
          <w:tcPr>
            <w:tcW w:w="1321" w:type="pct"/>
            <w:shd w:val="clear" w:color="auto" w:fill="DBE5F1" w:themeFill="accent1" w:themeFillTint="33"/>
          </w:tcPr>
          <w:p w:rsidR="00AF49DC" w:rsidRPr="00202350" w:rsidRDefault="00AF49DC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 Strategies</w:t>
            </w:r>
          </w:p>
        </w:tc>
      </w:tr>
      <w:tr w:rsidR="00AF49DC" w:rsidRPr="0047183A" w:rsidTr="00247F13">
        <w:tc>
          <w:tcPr>
            <w:tcW w:w="1041" w:type="pct"/>
            <w:shd w:val="clear" w:color="auto" w:fill="auto"/>
          </w:tcPr>
          <w:p w:rsidR="007668B5" w:rsidRDefault="009A04C1" w:rsidP="00F1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Australia: The Story of Us</w:t>
            </w:r>
            <w:r w:rsidR="00524231">
              <w:rPr>
                <w:rFonts w:ascii="Arial" w:hAnsi="Arial" w:cs="Arial"/>
                <w:sz w:val="20"/>
                <w:szCs w:val="20"/>
              </w:rPr>
              <w:t xml:space="preserve"> DVD</w:t>
            </w:r>
          </w:p>
          <w:p w:rsidR="00F17381" w:rsidRDefault="00F17381" w:rsidP="00F1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65B80" w:rsidRDefault="00DB6842" w:rsidP="00F1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Pencils,</w:t>
            </w:r>
          </w:p>
          <w:p w:rsidR="00353FDF" w:rsidRDefault="00765B80" w:rsidP="00F173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Worksheets</w:t>
            </w:r>
          </w:p>
          <w:p w:rsidR="00765B80" w:rsidRDefault="00DB6842" w:rsidP="00F173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Computers</w:t>
            </w:r>
            <w:r w:rsidR="00765B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49DC" w:rsidRPr="00DB6842" w:rsidRDefault="00143077" w:rsidP="00765B80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IWB</w:t>
            </w:r>
          </w:p>
        </w:tc>
        <w:tc>
          <w:tcPr>
            <w:tcW w:w="1319" w:type="pct"/>
            <w:gridSpan w:val="2"/>
            <w:shd w:val="clear" w:color="auto" w:fill="auto"/>
          </w:tcPr>
          <w:p w:rsidR="00AF49DC" w:rsidRPr="00DB6842" w:rsidRDefault="00DB6842" w:rsidP="00765B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842">
              <w:rPr>
                <w:rFonts w:ascii="Arial" w:hAnsi="Arial" w:cs="Arial"/>
                <w:sz w:val="20"/>
                <w:szCs w:val="20"/>
              </w:rPr>
              <w:t>Count in/ count out</w:t>
            </w:r>
          </w:p>
          <w:p w:rsidR="00DB6842" w:rsidRPr="00DB6842" w:rsidRDefault="00DB6842" w:rsidP="00765B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6842">
              <w:rPr>
                <w:rFonts w:ascii="Arial" w:hAnsi="Arial" w:cs="Arial"/>
                <w:sz w:val="20"/>
                <w:szCs w:val="20"/>
              </w:rPr>
              <w:t>1 copy – with teacher</w:t>
            </w:r>
          </w:p>
          <w:p w:rsidR="00DB6842" w:rsidRPr="00202350" w:rsidRDefault="00F17381" w:rsidP="00765B80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Students do not have </w:t>
            </w:r>
            <w:r w:rsidR="006F3B49">
              <w:rPr>
                <w:rFonts w:ascii="Arial" w:hAnsi="Arial" w:cs="Arial"/>
                <w:sz w:val="20"/>
                <w:szCs w:val="20"/>
              </w:rPr>
              <w:t xml:space="preserve">access </w:t>
            </w:r>
            <w:r w:rsidR="006F3B49" w:rsidRPr="00DB6842">
              <w:rPr>
                <w:rFonts w:ascii="Arial" w:hAnsi="Arial" w:cs="Arial"/>
                <w:sz w:val="20"/>
                <w:szCs w:val="20"/>
              </w:rPr>
              <w:t>to</w:t>
            </w:r>
            <w:r w:rsidR="00DB6842" w:rsidRPr="00DB684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DB6842" w:rsidRPr="00DB6842"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1319" w:type="pct"/>
            <w:gridSpan w:val="2"/>
            <w:shd w:val="clear" w:color="auto" w:fill="auto"/>
          </w:tcPr>
          <w:p w:rsidR="00AF49DC" w:rsidRPr="00DB6842" w:rsidRDefault="00DB6842" w:rsidP="00765B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Behaviour Issues</w:t>
            </w:r>
          </w:p>
        </w:tc>
        <w:tc>
          <w:tcPr>
            <w:tcW w:w="1321" w:type="pct"/>
            <w:shd w:val="clear" w:color="auto" w:fill="auto"/>
          </w:tcPr>
          <w:p w:rsidR="00AF49DC" w:rsidRDefault="00DB6842" w:rsidP="00765B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Individual Risk Assess.</w:t>
            </w:r>
          </w:p>
          <w:p w:rsidR="00DB6842" w:rsidRPr="00DB6842" w:rsidRDefault="00DB6842" w:rsidP="00765B80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Staff</w:t>
            </w:r>
          </w:p>
        </w:tc>
      </w:tr>
      <w:tr w:rsidR="00EC2E5B" w:rsidRPr="0047183A">
        <w:tc>
          <w:tcPr>
            <w:tcW w:w="5000" w:type="pct"/>
            <w:gridSpan w:val="6"/>
            <w:shd w:val="clear" w:color="auto" w:fill="B8CCE4" w:themeFill="accent1" w:themeFillTint="66"/>
          </w:tcPr>
          <w:p w:rsidR="00EC2E5B" w:rsidRPr="00202350" w:rsidRDefault="00EC2E5B" w:rsidP="008D1C2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2350">
              <w:rPr>
                <w:rFonts w:ascii="Arial" w:hAnsi="Arial" w:cs="Arial"/>
                <w:b/>
                <w:sz w:val="20"/>
                <w:szCs w:val="20"/>
              </w:rPr>
              <w:t>Quality Teaching</w:t>
            </w:r>
          </w:p>
        </w:tc>
      </w:tr>
      <w:tr w:rsidR="00C3095F" w:rsidRPr="0047183A">
        <w:tc>
          <w:tcPr>
            <w:tcW w:w="1689" w:type="pct"/>
            <w:gridSpan w:val="2"/>
            <w:shd w:val="clear" w:color="auto" w:fill="DBE5F1" w:themeFill="accent1" w:themeFillTint="33"/>
          </w:tcPr>
          <w:p w:rsidR="00EC2E5B" w:rsidRPr="00202350" w:rsidRDefault="00EC2E5B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50">
              <w:rPr>
                <w:rFonts w:ascii="Arial" w:hAnsi="Arial" w:cs="Arial"/>
                <w:sz w:val="20"/>
                <w:szCs w:val="20"/>
              </w:rPr>
              <w:t>Intellectual Quality</w:t>
            </w:r>
          </w:p>
        </w:tc>
        <w:tc>
          <w:tcPr>
            <w:tcW w:w="1659" w:type="pct"/>
            <w:gridSpan w:val="2"/>
            <w:shd w:val="clear" w:color="auto" w:fill="DBE5F1" w:themeFill="accent1" w:themeFillTint="33"/>
          </w:tcPr>
          <w:p w:rsidR="00EC2E5B" w:rsidRPr="00202350" w:rsidRDefault="00EC2E5B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50">
              <w:rPr>
                <w:rFonts w:ascii="Arial" w:hAnsi="Arial" w:cs="Arial"/>
                <w:sz w:val="20"/>
                <w:szCs w:val="20"/>
              </w:rPr>
              <w:t>Quality Learning Environment</w:t>
            </w:r>
          </w:p>
        </w:tc>
        <w:tc>
          <w:tcPr>
            <w:tcW w:w="1652" w:type="pct"/>
            <w:gridSpan w:val="2"/>
            <w:shd w:val="clear" w:color="auto" w:fill="DBE5F1" w:themeFill="accent1" w:themeFillTint="33"/>
          </w:tcPr>
          <w:p w:rsidR="00EC2E5B" w:rsidRPr="00202350" w:rsidRDefault="00EC2E5B" w:rsidP="008D1C2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2350">
              <w:rPr>
                <w:rFonts w:ascii="Arial" w:hAnsi="Arial" w:cs="Arial"/>
                <w:sz w:val="20"/>
                <w:szCs w:val="20"/>
              </w:rPr>
              <w:t>Significance</w:t>
            </w:r>
          </w:p>
        </w:tc>
      </w:tr>
      <w:tr w:rsidR="00EC2E5B" w:rsidRPr="0047183A">
        <w:trPr>
          <w:trHeight w:val="274"/>
        </w:trPr>
        <w:tc>
          <w:tcPr>
            <w:tcW w:w="1689" w:type="pct"/>
            <w:gridSpan w:val="2"/>
            <w:shd w:val="clear" w:color="auto" w:fill="auto"/>
            <w:vAlign w:val="center"/>
          </w:tcPr>
          <w:p w:rsidR="00EC2E5B" w:rsidRPr="00870356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0356">
              <w:rPr>
                <w:rFonts w:ascii="Arial" w:hAnsi="Arial" w:cs="Arial"/>
                <w:sz w:val="20"/>
                <w:szCs w:val="20"/>
                <w:highlight w:val="yellow"/>
              </w:rPr>
              <w:t>IQ1 Deep Knowledge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IQ2 Deep Understanding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IQ3 Problematic Knowledge</w:t>
            </w:r>
          </w:p>
          <w:p w:rsidR="00EC2E5B" w:rsidRPr="00870356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0356">
              <w:rPr>
                <w:rFonts w:ascii="Arial" w:hAnsi="Arial" w:cs="Arial"/>
                <w:sz w:val="20"/>
                <w:szCs w:val="20"/>
                <w:highlight w:val="yellow"/>
              </w:rPr>
              <w:t>IQ4 Higher-order Thinking</w:t>
            </w:r>
          </w:p>
          <w:p w:rsidR="00EC2E5B" w:rsidRPr="00870356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0356">
              <w:rPr>
                <w:rFonts w:ascii="Arial" w:hAnsi="Arial" w:cs="Arial"/>
                <w:sz w:val="20"/>
                <w:szCs w:val="20"/>
                <w:highlight w:val="yellow"/>
              </w:rPr>
              <w:t>IQ5 Metalanguage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70356">
              <w:rPr>
                <w:rFonts w:ascii="Arial" w:hAnsi="Arial" w:cs="Arial"/>
                <w:sz w:val="20"/>
                <w:szCs w:val="20"/>
                <w:highlight w:val="yellow"/>
              </w:rPr>
              <w:t>IQ6 Substantive Communication</w:t>
            </w:r>
          </w:p>
        </w:tc>
        <w:tc>
          <w:tcPr>
            <w:tcW w:w="1659" w:type="pct"/>
            <w:gridSpan w:val="2"/>
            <w:shd w:val="clear" w:color="auto" w:fill="auto"/>
            <w:vAlign w:val="center"/>
          </w:tcPr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ind w:left="357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QLE1 Explicit Quality Criteria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QE2 Engagement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QE3 High Expectations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QE4 Social Support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QE5 Students’ Self-regulation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QE6 Student Direction</w:t>
            </w:r>
          </w:p>
        </w:tc>
        <w:tc>
          <w:tcPr>
            <w:tcW w:w="1652" w:type="pct"/>
            <w:gridSpan w:val="2"/>
            <w:shd w:val="clear" w:color="auto" w:fill="auto"/>
            <w:vAlign w:val="center"/>
          </w:tcPr>
          <w:p w:rsidR="00EC2E5B" w:rsidRPr="00870356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0356">
              <w:rPr>
                <w:rFonts w:ascii="Arial" w:hAnsi="Arial" w:cs="Arial"/>
                <w:sz w:val="20"/>
                <w:szCs w:val="20"/>
                <w:highlight w:val="yellow"/>
              </w:rPr>
              <w:t>S1 Background Knowledge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70E45">
              <w:rPr>
                <w:rFonts w:ascii="Arial" w:hAnsi="Arial" w:cs="Arial"/>
                <w:sz w:val="20"/>
                <w:szCs w:val="20"/>
              </w:rPr>
              <w:t>S2 Cultural Knowledge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S3 Knowledge Integration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S4 Inclusively</w:t>
            </w:r>
          </w:p>
          <w:p w:rsidR="00EC2E5B" w:rsidRPr="007668B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S5 Connectedness</w:t>
            </w:r>
          </w:p>
          <w:p w:rsidR="00EC2E5B" w:rsidRPr="00F70E45" w:rsidRDefault="00EC2E5B" w:rsidP="00BC360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668B5">
              <w:rPr>
                <w:rFonts w:ascii="Arial" w:hAnsi="Arial" w:cs="Arial"/>
                <w:sz w:val="20"/>
                <w:szCs w:val="20"/>
                <w:highlight w:val="yellow"/>
              </w:rPr>
              <w:t>S6 Narrative</w:t>
            </w:r>
          </w:p>
        </w:tc>
      </w:tr>
    </w:tbl>
    <w:tbl>
      <w:tblPr>
        <w:tblStyle w:val="TableGrid"/>
        <w:tblpPr w:leftFromText="180" w:rightFromText="180" w:vertAnchor="text" w:horzAnchor="margin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"/>
        <w:gridCol w:w="709"/>
        <w:gridCol w:w="709"/>
        <w:gridCol w:w="5812"/>
      </w:tblGrid>
      <w:tr w:rsidR="000D58A7" w:rsidRPr="0047183A">
        <w:trPr>
          <w:trHeight w:val="463"/>
        </w:trPr>
        <w:tc>
          <w:tcPr>
            <w:tcW w:w="4928" w:type="dxa"/>
            <w:gridSpan w:val="4"/>
            <w:shd w:val="clear" w:color="auto" w:fill="DBE5F1" w:themeFill="accent1" w:themeFillTint="33"/>
            <w:vAlign w:val="center"/>
          </w:tcPr>
          <w:p w:rsidR="000D58A7" w:rsidRPr="00BC3605" w:rsidRDefault="000D58A7" w:rsidP="00AF4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Teacher Evaluation</w:t>
            </w:r>
          </w:p>
        </w:tc>
        <w:tc>
          <w:tcPr>
            <w:tcW w:w="5812" w:type="dxa"/>
            <w:shd w:val="clear" w:color="auto" w:fill="DBE5F1" w:themeFill="accent1" w:themeFillTint="33"/>
            <w:vAlign w:val="center"/>
          </w:tcPr>
          <w:p w:rsidR="000D58A7" w:rsidRPr="00BC3605" w:rsidRDefault="000D58A7" w:rsidP="00AF49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C3605">
              <w:rPr>
                <w:rFonts w:ascii="Arial" w:hAnsi="Arial" w:cs="Arial"/>
                <w:b/>
                <w:sz w:val="20"/>
                <w:szCs w:val="20"/>
              </w:rPr>
              <w:t>Comments / Variations</w:t>
            </w:r>
            <w:r w:rsidR="00F70E45">
              <w:rPr>
                <w:rFonts w:ascii="Arial" w:hAnsi="Arial" w:cs="Arial"/>
                <w:b/>
                <w:sz w:val="20"/>
                <w:szCs w:val="20"/>
              </w:rPr>
              <w:t xml:space="preserve"> / Evaluation</w:t>
            </w:r>
          </w:p>
        </w:tc>
      </w:tr>
      <w:tr w:rsidR="007668B5" w:rsidRPr="0047183A">
        <w:trPr>
          <w:trHeight w:val="440"/>
        </w:trPr>
        <w:tc>
          <w:tcPr>
            <w:tcW w:w="2802" w:type="dxa"/>
            <w:shd w:val="clear" w:color="auto" w:fill="auto"/>
          </w:tcPr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b/>
                <w:i/>
                <w:sz w:val="20"/>
                <w:szCs w:val="20"/>
              </w:rPr>
              <w:t>How did the unit ‘rate’ in these areas?</w:t>
            </w:r>
          </w:p>
        </w:tc>
        <w:tc>
          <w:tcPr>
            <w:tcW w:w="708" w:type="dxa"/>
            <w:shd w:val="clear" w:color="auto" w:fill="auto"/>
          </w:tcPr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14325" cy="361950"/>
                  <wp:effectExtent l="19050" t="0" r="9525" b="0"/>
                  <wp:docPr id="10" name="Picture 4" descr="j0079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j0079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14325" cy="361950"/>
                  <wp:effectExtent l="19050" t="0" r="9525" b="0"/>
                  <wp:docPr id="11" name="Picture 5" descr="j0079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0790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shd w:val="clear" w:color="auto" w:fill="auto"/>
          </w:tcPr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AF49DC">
            <w:pPr>
              <w:rPr>
                <w:rFonts w:ascii="Arial" w:hAnsi="Arial" w:cs="Arial"/>
                <w:sz w:val="20"/>
                <w:szCs w:val="20"/>
              </w:rPr>
            </w:pPr>
            <w:r w:rsidRPr="0047183A">
              <w:rPr>
                <w:rFonts w:ascii="Arial" w:hAnsi="Arial" w:cs="Arial"/>
                <w:noProof/>
                <w:sz w:val="20"/>
                <w:szCs w:val="20"/>
                <w:lang w:eastAsia="en-AU"/>
              </w:rPr>
              <w:drawing>
                <wp:inline distT="0" distB="0" distL="0" distR="0">
                  <wp:extent cx="304800" cy="361950"/>
                  <wp:effectExtent l="19050" t="0" r="0" b="0"/>
                  <wp:docPr id="12" name="Picture 6" descr="j0079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j0079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</w:tcPr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24CA7" w:rsidRDefault="007668B5" w:rsidP="008010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08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Time allocated for topic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08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Introduction to topic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376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Student understanding of content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338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Opportunities for student reflection on learning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85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Suitability of resources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549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Variety of teaching strategies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  <w:shd w:val="clear" w:color="auto" w:fill="B8CCE4" w:themeFill="accent1" w:themeFillTint="66"/>
            <w:vAlign w:val="center"/>
          </w:tcPr>
          <w:p w:rsidR="007668B5" w:rsidRPr="00AF49DC" w:rsidRDefault="007668B5" w:rsidP="00D65EF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68B5" w:rsidRPr="0047183A">
        <w:trPr>
          <w:trHeight w:val="338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Integration of Quality Teaching strategies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336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Integration of ICT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Literacy strategies used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425"/>
        </w:trPr>
        <w:tc>
          <w:tcPr>
            <w:tcW w:w="2802" w:type="dxa"/>
            <w:shd w:val="clear" w:color="auto" w:fill="auto"/>
            <w:vAlign w:val="center"/>
          </w:tcPr>
          <w:p w:rsidR="007668B5" w:rsidRPr="008010A4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10A4">
              <w:rPr>
                <w:rFonts w:ascii="Arial" w:hAnsi="Arial" w:cs="Arial"/>
                <w:sz w:val="20"/>
                <w:szCs w:val="20"/>
              </w:rPr>
              <w:t>Numeracy strategies used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512"/>
        </w:trPr>
        <w:tc>
          <w:tcPr>
            <w:tcW w:w="2802" w:type="dxa"/>
            <w:shd w:val="clear" w:color="auto" w:fill="auto"/>
            <w:vAlign w:val="center"/>
          </w:tcPr>
          <w:p w:rsidR="007668B5" w:rsidRPr="00901476" w:rsidRDefault="007668B5" w:rsidP="00766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1476">
              <w:rPr>
                <w:rFonts w:ascii="Arial" w:hAnsi="Arial" w:cs="Arial"/>
                <w:sz w:val="20"/>
                <w:szCs w:val="20"/>
              </w:rPr>
              <w:t>Student Behavioural Goals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668B5" w:rsidRPr="00901476" w:rsidRDefault="007668B5" w:rsidP="00766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668B5" w:rsidRPr="00901476" w:rsidRDefault="007668B5" w:rsidP="007668B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689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7668B5" w:rsidRPr="00901476" w:rsidRDefault="007668B5" w:rsidP="008010A4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Commenced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  <w:r w:rsidR="00224A4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7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rPr>
          <w:trHeight w:val="697"/>
        </w:trPr>
        <w:tc>
          <w:tcPr>
            <w:tcW w:w="4928" w:type="dxa"/>
            <w:gridSpan w:val="4"/>
            <w:shd w:val="clear" w:color="auto" w:fill="auto"/>
            <w:vAlign w:val="center"/>
          </w:tcPr>
          <w:p w:rsidR="007668B5" w:rsidRPr="00901476" w:rsidRDefault="007668B5" w:rsidP="008010A4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Date Finished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  <w:r w:rsidR="00D047B3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7"/>
        </w:trPr>
        <w:tc>
          <w:tcPr>
            <w:tcW w:w="4928" w:type="dxa"/>
            <w:gridSpan w:val="4"/>
            <w:vAlign w:val="center"/>
          </w:tcPr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Teachers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Merge/>
          </w:tcPr>
          <w:p w:rsidR="007668B5" w:rsidRPr="0047183A" w:rsidRDefault="007668B5" w:rsidP="00D65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68B5" w:rsidRPr="0047183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4928" w:type="dxa"/>
            <w:gridSpan w:val="4"/>
          </w:tcPr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</w:p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  <w:r w:rsidRPr="00764BDA">
              <w:rPr>
                <w:rFonts w:ascii="Arial" w:hAnsi="Arial" w:cs="Arial"/>
                <w:b/>
                <w:sz w:val="20"/>
                <w:szCs w:val="20"/>
              </w:rPr>
              <w:t>Assistant Principals Signature</w:t>
            </w:r>
            <w:r w:rsidRPr="004718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Merge/>
          </w:tcPr>
          <w:p w:rsidR="007668B5" w:rsidRPr="0047183A" w:rsidRDefault="007668B5" w:rsidP="007668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5E14" w:rsidRPr="00065DAD" w:rsidRDefault="00A55E14">
      <w:pPr>
        <w:rPr>
          <w:rFonts w:ascii="Arial" w:hAnsi="Arial" w:cs="Arial"/>
          <w:sz w:val="20"/>
          <w:szCs w:val="20"/>
        </w:rPr>
      </w:pPr>
    </w:p>
    <w:sectPr w:rsidR="00A55E14" w:rsidRPr="00065DAD" w:rsidSect="00AF49D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55EF"/>
    <w:multiLevelType w:val="hybridMultilevel"/>
    <w:tmpl w:val="9F08983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7F35"/>
    <w:multiLevelType w:val="hybridMultilevel"/>
    <w:tmpl w:val="BC28B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B2CEB"/>
    <w:multiLevelType w:val="hybridMultilevel"/>
    <w:tmpl w:val="DEA4B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009D7"/>
    <w:multiLevelType w:val="hybridMultilevel"/>
    <w:tmpl w:val="5E262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130FF"/>
    <w:multiLevelType w:val="hybridMultilevel"/>
    <w:tmpl w:val="CACA4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9007AA"/>
    <w:multiLevelType w:val="hybridMultilevel"/>
    <w:tmpl w:val="37120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A51A1B"/>
    <w:multiLevelType w:val="hybridMultilevel"/>
    <w:tmpl w:val="5C56E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D0A04"/>
    <w:multiLevelType w:val="hybridMultilevel"/>
    <w:tmpl w:val="F8C8C4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B92BA7"/>
    <w:multiLevelType w:val="hybridMultilevel"/>
    <w:tmpl w:val="E752E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E3784F"/>
    <w:multiLevelType w:val="hybridMultilevel"/>
    <w:tmpl w:val="9E7A2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0F6A3B"/>
    <w:multiLevelType w:val="hybridMultilevel"/>
    <w:tmpl w:val="702CAA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83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5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9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7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4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15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5870" w:hanging="360"/>
      </w:pPr>
      <w:rPr>
        <w:rFonts w:ascii="Wingdings" w:hAnsi="Wingdings" w:hint="default"/>
      </w:rPr>
    </w:lvl>
  </w:abstractNum>
  <w:abstractNum w:abstractNumId="11">
    <w:nsid w:val="1B902671"/>
    <w:multiLevelType w:val="hybridMultilevel"/>
    <w:tmpl w:val="48987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D19111B"/>
    <w:multiLevelType w:val="hybridMultilevel"/>
    <w:tmpl w:val="2CBEF7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0C7F04"/>
    <w:multiLevelType w:val="hybridMultilevel"/>
    <w:tmpl w:val="26EED9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E05673"/>
    <w:multiLevelType w:val="hybridMultilevel"/>
    <w:tmpl w:val="9C4EE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9061F"/>
    <w:multiLevelType w:val="hybridMultilevel"/>
    <w:tmpl w:val="123264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BA39F9"/>
    <w:multiLevelType w:val="hybridMultilevel"/>
    <w:tmpl w:val="8D267D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2F0F4A"/>
    <w:multiLevelType w:val="hybridMultilevel"/>
    <w:tmpl w:val="7864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6F3679"/>
    <w:multiLevelType w:val="hybridMultilevel"/>
    <w:tmpl w:val="1C682D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EB4E4D"/>
    <w:multiLevelType w:val="hybridMultilevel"/>
    <w:tmpl w:val="3594CD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10EA4"/>
    <w:multiLevelType w:val="hybridMultilevel"/>
    <w:tmpl w:val="A0E641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C479E"/>
    <w:multiLevelType w:val="hybridMultilevel"/>
    <w:tmpl w:val="75BE5F0E"/>
    <w:lvl w:ilvl="0" w:tplc="46F81614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4215BAE"/>
    <w:multiLevelType w:val="hybridMultilevel"/>
    <w:tmpl w:val="DFE4C73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452F42"/>
    <w:multiLevelType w:val="hybridMultilevel"/>
    <w:tmpl w:val="41DCE5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38B4834"/>
    <w:multiLevelType w:val="hybridMultilevel"/>
    <w:tmpl w:val="57082E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00705F"/>
    <w:multiLevelType w:val="hybridMultilevel"/>
    <w:tmpl w:val="773007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1155C"/>
    <w:multiLevelType w:val="hybridMultilevel"/>
    <w:tmpl w:val="44584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F86DC9"/>
    <w:multiLevelType w:val="hybridMultilevel"/>
    <w:tmpl w:val="3EAA8FC4"/>
    <w:lvl w:ilvl="0" w:tplc="09CE6132">
      <w:start w:val="11"/>
      <w:numFmt w:val="bullet"/>
      <w:lvlText w:val="-"/>
      <w:lvlJc w:val="left"/>
      <w:pPr>
        <w:ind w:left="1080" w:hanging="360"/>
      </w:pPr>
      <w:rPr>
        <w:rFonts w:ascii="Arial" w:eastAsiaTheme="minorHAnsi" w:hAnsi="Arial" w:cs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58B3031"/>
    <w:multiLevelType w:val="hybridMultilevel"/>
    <w:tmpl w:val="F15AB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5E51C3F"/>
    <w:multiLevelType w:val="hybridMultilevel"/>
    <w:tmpl w:val="8C7E45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C398C"/>
    <w:multiLevelType w:val="hybridMultilevel"/>
    <w:tmpl w:val="F388385E"/>
    <w:lvl w:ilvl="0" w:tplc="F56E30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>
    <w:nsid w:val="7E281921"/>
    <w:multiLevelType w:val="hybridMultilevel"/>
    <w:tmpl w:val="E7C2C0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23"/>
  </w:num>
  <w:num w:numId="4">
    <w:abstractNumId w:val="24"/>
  </w:num>
  <w:num w:numId="5">
    <w:abstractNumId w:val="28"/>
  </w:num>
  <w:num w:numId="6">
    <w:abstractNumId w:val="9"/>
  </w:num>
  <w:num w:numId="7">
    <w:abstractNumId w:val="2"/>
  </w:num>
  <w:num w:numId="8">
    <w:abstractNumId w:val="31"/>
  </w:num>
  <w:num w:numId="9">
    <w:abstractNumId w:val="21"/>
  </w:num>
  <w:num w:numId="10">
    <w:abstractNumId w:val="27"/>
  </w:num>
  <w:num w:numId="11">
    <w:abstractNumId w:val="22"/>
  </w:num>
  <w:num w:numId="12">
    <w:abstractNumId w:val="25"/>
  </w:num>
  <w:num w:numId="13">
    <w:abstractNumId w:val="3"/>
  </w:num>
  <w:num w:numId="14">
    <w:abstractNumId w:val="18"/>
  </w:num>
  <w:num w:numId="15">
    <w:abstractNumId w:val="14"/>
  </w:num>
  <w:num w:numId="16">
    <w:abstractNumId w:val="1"/>
  </w:num>
  <w:num w:numId="17">
    <w:abstractNumId w:val="15"/>
  </w:num>
  <w:num w:numId="18">
    <w:abstractNumId w:val="4"/>
  </w:num>
  <w:num w:numId="19">
    <w:abstractNumId w:val="16"/>
  </w:num>
  <w:num w:numId="20">
    <w:abstractNumId w:val="26"/>
  </w:num>
  <w:num w:numId="21">
    <w:abstractNumId w:val="6"/>
  </w:num>
  <w:num w:numId="22">
    <w:abstractNumId w:val="10"/>
  </w:num>
  <w:num w:numId="23">
    <w:abstractNumId w:val="20"/>
  </w:num>
  <w:num w:numId="24">
    <w:abstractNumId w:val="29"/>
  </w:num>
  <w:num w:numId="25">
    <w:abstractNumId w:val="7"/>
  </w:num>
  <w:num w:numId="26">
    <w:abstractNumId w:val="19"/>
  </w:num>
  <w:num w:numId="27">
    <w:abstractNumId w:val="8"/>
  </w:num>
  <w:num w:numId="28">
    <w:abstractNumId w:val="13"/>
  </w:num>
  <w:num w:numId="29">
    <w:abstractNumId w:val="12"/>
  </w:num>
  <w:num w:numId="30">
    <w:abstractNumId w:val="11"/>
  </w:num>
  <w:num w:numId="31">
    <w:abstractNumId w:val="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A7"/>
    <w:rsid w:val="00001DC8"/>
    <w:rsid w:val="0002179A"/>
    <w:rsid w:val="00033365"/>
    <w:rsid w:val="00065DAD"/>
    <w:rsid w:val="00084D3C"/>
    <w:rsid w:val="00093A88"/>
    <w:rsid w:val="000A505D"/>
    <w:rsid w:val="000D03A5"/>
    <w:rsid w:val="000D58A7"/>
    <w:rsid w:val="000F2B70"/>
    <w:rsid w:val="0010339B"/>
    <w:rsid w:val="00105AD7"/>
    <w:rsid w:val="00107D2A"/>
    <w:rsid w:val="001145C9"/>
    <w:rsid w:val="00133DCD"/>
    <w:rsid w:val="00143077"/>
    <w:rsid w:val="00162721"/>
    <w:rsid w:val="00173F14"/>
    <w:rsid w:val="0017523E"/>
    <w:rsid w:val="00176C55"/>
    <w:rsid w:val="00176CA4"/>
    <w:rsid w:val="00177164"/>
    <w:rsid w:val="001808AE"/>
    <w:rsid w:val="001975C9"/>
    <w:rsid w:val="001A3108"/>
    <w:rsid w:val="001A61DE"/>
    <w:rsid w:val="00202350"/>
    <w:rsid w:val="00202AD2"/>
    <w:rsid w:val="0020348E"/>
    <w:rsid w:val="00224A48"/>
    <w:rsid w:val="00225717"/>
    <w:rsid w:val="00240AE7"/>
    <w:rsid w:val="00243273"/>
    <w:rsid w:val="002450A6"/>
    <w:rsid w:val="00247F13"/>
    <w:rsid w:val="002503E7"/>
    <w:rsid w:val="002516DD"/>
    <w:rsid w:val="002657EA"/>
    <w:rsid w:val="00297E26"/>
    <w:rsid w:val="002A09E5"/>
    <w:rsid w:val="002C57F9"/>
    <w:rsid w:val="002D3697"/>
    <w:rsid w:val="00304327"/>
    <w:rsid w:val="00320434"/>
    <w:rsid w:val="003205C7"/>
    <w:rsid w:val="00336ADA"/>
    <w:rsid w:val="00353FDF"/>
    <w:rsid w:val="00355B49"/>
    <w:rsid w:val="00381AF8"/>
    <w:rsid w:val="003839EC"/>
    <w:rsid w:val="00387E02"/>
    <w:rsid w:val="00395220"/>
    <w:rsid w:val="003C50BF"/>
    <w:rsid w:val="003D093D"/>
    <w:rsid w:val="003D7051"/>
    <w:rsid w:val="00424CA7"/>
    <w:rsid w:val="00457E8D"/>
    <w:rsid w:val="0046259F"/>
    <w:rsid w:val="0047183A"/>
    <w:rsid w:val="004749B3"/>
    <w:rsid w:val="00480AA7"/>
    <w:rsid w:val="004932A5"/>
    <w:rsid w:val="004B6EDB"/>
    <w:rsid w:val="004C3F55"/>
    <w:rsid w:val="004C6852"/>
    <w:rsid w:val="004C7E72"/>
    <w:rsid w:val="004D5056"/>
    <w:rsid w:val="004E3401"/>
    <w:rsid w:val="004F2B7A"/>
    <w:rsid w:val="00501079"/>
    <w:rsid w:val="005021FF"/>
    <w:rsid w:val="00502EE9"/>
    <w:rsid w:val="00506F02"/>
    <w:rsid w:val="00524231"/>
    <w:rsid w:val="00525AFC"/>
    <w:rsid w:val="00541E24"/>
    <w:rsid w:val="0054729F"/>
    <w:rsid w:val="00560C0C"/>
    <w:rsid w:val="00576584"/>
    <w:rsid w:val="0058202C"/>
    <w:rsid w:val="00586C63"/>
    <w:rsid w:val="00590EB6"/>
    <w:rsid w:val="005A5C27"/>
    <w:rsid w:val="005B0035"/>
    <w:rsid w:val="005B1445"/>
    <w:rsid w:val="005D2C58"/>
    <w:rsid w:val="005D4D68"/>
    <w:rsid w:val="005E4A7E"/>
    <w:rsid w:val="005E6217"/>
    <w:rsid w:val="00611794"/>
    <w:rsid w:val="00613761"/>
    <w:rsid w:val="00620FB4"/>
    <w:rsid w:val="00621142"/>
    <w:rsid w:val="006277F7"/>
    <w:rsid w:val="006355C9"/>
    <w:rsid w:val="0063594F"/>
    <w:rsid w:val="00635A3C"/>
    <w:rsid w:val="00637F14"/>
    <w:rsid w:val="00647AE7"/>
    <w:rsid w:val="00663226"/>
    <w:rsid w:val="0068012E"/>
    <w:rsid w:val="0068210C"/>
    <w:rsid w:val="006847F1"/>
    <w:rsid w:val="006E3C5A"/>
    <w:rsid w:val="006F3B49"/>
    <w:rsid w:val="006F6E0F"/>
    <w:rsid w:val="00707813"/>
    <w:rsid w:val="00716F1F"/>
    <w:rsid w:val="00721726"/>
    <w:rsid w:val="00733BC6"/>
    <w:rsid w:val="0073451A"/>
    <w:rsid w:val="00750D45"/>
    <w:rsid w:val="00752FFA"/>
    <w:rsid w:val="00754850"/>
    <w:rsid w:val="00755288"/>
    <w:rsid w:val="0075572F"/>
    <w:rsid w:val="007574E9"/>
    <w:rsid w:val="00764BDA"/>
    <w:rsid w:val="00765B80"/>
    <w:rsid w:val="007668B5"/>
    <w:rsid w:val="00770A74"/>
    <w:rsid w:val="0077747F"/>
    <w:rsid w:val="00790D51"/>
    <w:rsid w:val="007B6EBE"/>
    <w:rsid w:val="007C5F3D"/>
    <w:rsid w:val="007D0DA5"/>
    <w:rsid w:val="007E7EB6"/>
    <w:rsid w:val="00800F18"/>
    <w:rsid w:val="008010A4"/>
    <w:rsid w:val="008143EC"/>
    <w:rsid w:val="00820977"/>
    <w:rsid w:val="00867320"/>
    <w:rsid w:val="00870356"/>
    <w:rsid w:val="00880CD3"/>
    <w:rsid w:val="00882F5B"/>
    <w:rsid w:val="008B6BBE"/>
    <w:rsid w:val="008B7A88"/>
    <w:rsid w:val="008D1C26"/>
    <w:rsid w:val="008D61F9"/>
    <w:rsid w:val="008E4B0F"/>
    <w:rsid w:val="008F6A2A"/>
    <w:rsid w:val="00901476"/>
    <w:rsid w:val="009045C8"/>
    <w:rsid w:val="00907F6A"/>
    <w:rsid w:val="0092119E"/>
    <w:rsid w:val="009525F5"/>
    <w:rsid w:val="0095288A"/>
    <w:rsid w:val="00963FF4"/>
    <w:rsid w:val="00987705"/>
    <w:rsid w:val="009A04C1"/>
    <w:rsid w:val="009A2117"/>
    <w:rsid w:val="009C1742"/>
    <w:rsid w:val="009C4D87"/>
    <w:rsid w:val="00A23632"/>
    <w:rsid w:val="00A42235"/>
    <w:rsid w:val="00A525A1"/>
    <w:rsid w:val="00A55E14"/>
    <w:rsid w:val="00A85AB1"/>
    <w:rsid w:val="00AE1606"/>
    <w:rsid w:val="00AE5B53"/>
    <w:rsid w:val="00AF420D"/>
    <w:rsid w:val="00AF49DC"/>
    <w:rsid w:val="00B318B8"/>
    <w:rsid w:val="00B37D61"/>
    <w:rsid w:val="00B457E1"/>
    <w:rsid w:val="00B74EC3"/>
    <w:rsid w:val="00B804CE"/>
    <w:rsid w:val="00BA0182"/>
    <w:rsid w:val="00BB6D57"/>
    <w:rsid w:val="00BC3605"/>
    <w:rsid w:val="00BC4CC3"/>
    <w:rsid w:val="00BE3BBE"/>
    <w:rsid w:val="00C101AE"/>
    <w:rsid w:val="00C27FDC"/>
    <w:rsid w:val="00C3095F"/>
    <w:rsid w:val="00C476A8"/>
    <w:rsid w:val="00C51237"/>
    <w:rsid w:val="00C60D81"/>
    <w:rsid w:val="00C76ABB"/>
    <w:rsid w:val="00C80639"/>
    <w:rsid w:val="00C94072"/>
    <w:rsid w:val="00CA45F2"/>
    <w:rsid w:val="00CA7688"/>
    <w:rsid w:val="00CB306A"/>
    <w:rsid w:val="00CC00CE"/>
    <w:rsid w:val="00CC1548"/>
    <w:rsid w:val="00CC2CBF"/>
    <w:rsid w:val="00CC68BC"/>
    <w:rsid w:val="00CC7716"/>
    <w:rsid w:val="00CD012A"/>
    <w:rsid w:val="00CD1038"/>
    <w:rsid w:val="00CE2336"/>
    <w:rsid w:val="00CE26A6"/>
    <w:rsid w:val="00CF3CB4"/>
    <w:rsid w:val="00CF50B4"/>
    <w:rsid w:val="00D03FA9"/>
    <w:rsid w:val="00D047B3"/>
    <w:rsid w:val="00D06055"/>
    <w:rsid w:val="00D0737D"/>
    <w:rsid w:val="00D10BBE"/>
    <w:rsid w:val="00D22626"/>
    <w:rsid w:val="00D43265"/>
    <w:rsid w:val="00D52DE4"/>
    <w:rsid w:val="00D5792D"/>
    <w:rsid w:val="00D65EFD"/>
    <w:rsid w:val="00D94B08"/>
    <w:rsid w:val="00DA790D"/>
    <w:rsid w:val="00DB6842"/>
    <w:rsid w:val="00DD6875"/>
    <w:rsid w:val="00DE1115"/>
    <w:rsid w:val="00DE1ECC"/>
    <w:rsid w:val="00DF17A7"/>
    <w:rsid w:val="00DF6A4D"/>
    <w:rsid w:val="00DF750C"/>
    <w:rsid w:val="00DF7FD2"/>
    <w:rsid w:val="00E02E39"/>
    <w:rsid w:val="00E17EE7"/>
    <w:rsid w:val="00E22B8B"/>
    <w:rsid w:val="00E25086"/>
    <w:rsid w:val="00E2755B"/>
    <w:rsid w:val="00E348FA"/>
    <w:rsid w:val="00E45581"/>
    <w:rsid w:val="00E47793"/>
    <w:rsid w:val="00E769A0"/>
    <w:rsid w:val="00E96389"/>
    <w:rsid w:val="00EC2E5B"/>
    <w:rsid w:val="00EC5A82"/>
    <w:rsid w:val="00EF455B"/>
    <w:rsid w:val="00F11196"/>
    <w:rsid w:val="00F17381"/>
    <w:rsid w:val="00F25EC0"/>
    <w:rsid w:val="00F436AB"/>
    <w:rsid w:val="00F567B4"/>
    <w:rsid w:val="00F63B28"/>
    <w:rsid w:val="00F70E45"/>
    <w:rsid w:val="00F8548C"/>
    <w:rsid w:val="00F953CE"/>
    <w:rsid w:val="00F97E94"/>
    <w:rsid w:val="00FB4087"/>
    <w:rsid w:val="00FF107D"/>
    <w:rsid w:val="00FF3796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D58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wmf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6676F-ED51-4263-B460-6B562016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 Fisher</dc:creator>
  <cp:lastModifiedBy>Fisher, Ernie</cp:lastModifiedBy>
  <cp:revision>4</cp:revision>
  <cp:lastPrinted>2014-09-01T03:24:00Z</cp:lastPrinted>
  <dcterms:created xsi:type="dcterms:W3CDTF">2015-11-16T02:09:00Z</dcterms:created>
  <dcterms:modified xsi:type="dcterms:W3CDTF">2016-08-15T05:25:00Z</dcterms:modified>
</cp:coreProperties>
</file>